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3A0AEF" w14:textId="19955272" w:rsidR="007A0A3D" w:rsidRDefault="00A1534B" w:rsidP="008927DE">
      <w:pPr>
        <w:jc w:val="center"/>
        <w:outlineLvl w:val="0"/>
      </w:pPr>
      <w:r>
        <w:t xml:space="preserve">Raport </w:t>
      </w:r>
      <w:r w:rsidR="009D3D41">
        <w:t>końcowy z realizacji projektu</w:t>
      </w:r>
      <w:r w:rsidR="00CA79E4">
        <w:t xml:space="preserve"> informatycznego</w:t>
      </w:r>
    </w:p>
    <w:tbl>
      <w:tblPr>
        <w:tblStyle w:val="Tabela-Siatka"/>
        <w:tblW w:w="0" w:type="auto"/>
        <w:tblLook w:val="04A0" w:firstRow="1" w:lastRow="0" w:firstColumn="1" w:lastColumn="0" w:noHBand="0" w:noVBand="1"/>
      </w:tblPr>
      <w:tblGrid>
        <w:gridCol w:w="480"/>
        <w:gridCol w:w="2350"/>
        <w:gridCol w:w="6232"/>
      </w:tblGrid>
      <w:tr w:rsidR="007A0A3D" w:rsidRPr="00754228" w14:paraId="6AEF3747" w14:textId="77777777" w:rsidTr="00920CE8">
        <w:tc>
          <w:tcPr>
            <w:tcW w:w="480" w:type="dxa"/>
          </w:tcPr>
          <w:p w14:paraId="66C25966" w14:textId="77777777" w:rsidR="007A0A3D" w:rsidRPr="00754228" w:rsidRDefault="007A0A3D" w:rsidP="007A0A3D">
            <w:pPr>
              <w:jc w:val="center"/>
              <w:rPr>
                <w:rFonts w:cstheme="minorHAnsi"/>
                <w:b/>
                <w:sz w:val="18"/>
                <w:szCs w:val="18"/>
              </w:rPr>
            </w:pPr>
            <w:r w:rsidRPr="00754228">
              <w:rPr>
                <w:rFonts w:cstheme="minorHAnsi"/>
                <w:b/>
                <w:sz w:val="18"/>
                <w:szCs w:val="18"/>
              </w:rPr>
              <w:t>Lp.</w:t>
            </w:r>
          </w:p>
        </w:tc>
        <w:tc>
          <w:tcPr>
            <w:tcW w:w="2350" w:type="dxa"/>
          </w:tcPr>
          <w:p w14:paraId="48EC9185" w14:textId="77777777" w:rsidR="007A0A3D" w:rsidRPr="00754228" w:rsidRDefault="007A0A3D" w:rsidP="007A0A3D">
            <w:pPr>
              <w:jc w:val="center"/>
              <w:rPr>
                <w:rFonts w:cstheme="minorHAnsi"/>
                <w:b/>
                <w:sz w:val="18"/>
                <w:szCs w:val="18"/>
              </w:rPr>
            </w:pPr>
            <w:r w:rsidRPr="00754228">
              <w:rPr>
                <w:rFonts w:cstheme="minorHAnsi"/>
                <w:b/>
                <w:sz w:val="18"/>
                <w:szCs w:val="18"/>
              </w:rPr>
              <w:t>Wyszczególnienie</w:t>
            </w:r>
          </w:p>
        </w:tc>
        <w:tc>
          <w:tcPr>
            <w:tcW w:w="6232" w:type="dxa"/>
          </w:tcPr>
          <w:p w14:paraId="369771A2" w14:textId="77777777" w:rsidR="007A0A3D" w:rsidRPr="00754228" w:rsidRDefault="007A0A3D" w:rsidP="007A0A3D">
            <w:pPr>
              <w:jc w:val="center"/>
              <w:rPr>
                <w:rFonts w:cstheme="minorHAnsi"/>
                <w:b/>
                <w:sz w:val="18"/>
                <w:szCs w:val="18"/>
              </w:rPr>
            </w:pPr>
            <w:r w:rsidRPr="00754228">
              <w:rPr>
                <w:rFonts w:cstheme="minorHAnsi"/>
                <w:b/>
                <w:sz w:val="18"/>
                <w:szCs w:val="18"/>
              </w:rPr>
              <w:t>Opis</w:t>
            </w:r>
          </w:p>
        </w:tc>
      </w:tr>
      <w:tr w:rsidR="007A0A3D" w:rsidRPr="00754228" w14:paraId="7C963615" w14:textId="77777777" w:rsidTr="00920CE8">
        <w:tc>
          <w:tcPr>
            <w:tcW w:w="480" w:type="dxa"/>
          </w:tcPr>
          <w:p w14:paraId="7628A06A" w14:textId="77777777" w:rsidR="007A0A3D" w:rsidRPr="00754228" w:rsidRDefault="007A0A3D" w:rsidP="007A0A3D">
            <w:pPr>
              <w:pStyle w:val="Akapitzlist"/>
              <w:numPr>
                <w:ilvl w:val="0"/>
                <w:numId w:val="1"/>
              </w:numPr>
              <w:rPr>
                <w:rFonts w:cstheme="minorHAnsi"/>
                <w:sz w:val="18"/>
                <w:szCs w:val="18"/>
              </w:rPr>
            </w:pPr>
          </w:p>
        </w:tc>
        <w:tc>
          <w:tcPr>
            <w:tcW w:w="2350" w:type="dxa"/>
          </w:tcPr>
          <w:p w14:paraId="0F9F0C01" w14:textId="77777777" w:rsidR="007A0A3D" w:rsidRPr="00754228" w:rsidRDefault="007A0A3D">
            <w:pPr>
              <w:rPr>
                <w:rFonts w:cstheme="minorHAnsi"/>
                <w:sz w:val="18"/>
                <w:szCs w:val="18"/>
              </w:rPr>
            </w:pPr>
            <w:r w:rsidRPr="00754228">
              <w:rPr>
                <w:rFonts w:cstheme="minorHAnsi"/>
                <w:sz w:val="18"/>
                <w:szCs w:val="18"/>
              </w:rPr>
              <w:t>Tytuł projektu</w:t>
            </w:r>
          </w:p>
        </w:tc>
        <w:tc>
          <w:tcPr>
            <w:tcW w:w="6232" w:type="dxa"/>
          </w:tcPr>
          <w:p w14:paraId="639C41D3" w14:textId="467CFB9E" w:rsidR="007A0A3D" w:rsidRPr="00754228" w:rsidRDefault="00501174" w:rsidP="0092099A">
            <w:pPr>
              <w:jc w:val="both"/>
              <w:rPr>
                <w:rFonts w:cstheme="minorHAnsi"/>
                <w:i/>
                <w:sz w:val="18"/>
                <w:szCs w:val="18"/>
              </w:rPr>
            </w:pPr>
            <w:r w:rsidRPr="00754228">
              <w:rPr>
                <w:rFonts w:cstheme="minorHAnsi"/>
                <w:i/>
                <w:sz w:val="18"/>
                <w:szCs w:val="18"/>
              </w:rPr>
              <w:t>Digitalizacja i udostępnianie cyfrowych dóbr kultury – zabytków oraz grobów i cmentarzy wojennych</w:t>
            </w:r>
          </w:p>
        </w:tc>
      </w:tr>
      <w:tr w:rsidR="007A0A3D" w:rsidRPr="00754228" w14:paraId="29D5EBF8" w14:textId="77777777" w:rsidTr="00920CE8">
        <w:trPr>
          <w:trHeight w:val="265"/>
        </w:trPr>
        <w:tc>
          <w:tcPr>
            <w:tcW w:w="480" w:type="dxa"/>
          </w:tcPr>
          <w:p w14:paraId="29A5BC31" w14:textId="77777777" w:rsidR="007A0A3D" w:rsidRPr="00754228" w:rsidRDefault="007A0A3D" w:rsidP="007A0A3D">
            <w:pPr>
              <w:pStyle w:val="Akapitzlist"/>
              <w:numPr>
                <w:ilvl w:val="0"/>
                <w:numId w:val="1"/>
              </w:numPr>
              <w:rPr>
                <w:rFonts w:cstheme="minorHAnsi"/>
                <w:sz w:val="18"/>
                <w:szCs w:val="18"/>
              </w:rPr>
            </w:pPr>
          </w:p>
        </w:tc>
        <w:tc>
          <w:tcPr>
            <w:tcW w:w="2350" w:type="dxa"/>
          </w:tcPr>
          <w:p w14:paraId="56316151" w14:textId="77777777" w:rsidR="007A0A3D" w:rsidRPr="00754228" w:rsidRDefault="007A0A3D" w:rsidP="00A1534B">
            <w:pPr>
              <w:rPr>
                <w:rFonts w:cstheme="minorHAnsi"/>
                <w:sz w:val="18"/>
                <w:szCs w:val="18"/>
              </w:rPr>
            </w:pPr>
            <w:r w:rsidRPr="00754228">
              <w:rPr>
                <w:rFonts w:cstheme="minorHAnsi"/>
                <w:sz w:val="18"/>
                <w:szCs w:val="18"/>
              </w:rPr>
              <w:t xml:space="preserve">Beneficjent projektu </w:t>
            </w:r>
          </w:p>
        </w:tc>
        <w:tc>
          <w:tcPr>
            <w:tcW w:w="6232" w:type="dxa"/>
          </w:tcPr>
          <w:p w14:paraId="3F6F3F23" w14:textId="5AC92F84" w:rsidR="001C611C" w:rsidRPr="00754228" w:rsidRDefault="00501174" w:rsidP="0092099A">
            <w:pPr>
              <w:jc w:val="both"/>
              <w:rPr>
                <w:rFonts w:cstheme="minorHAnsi"/>
                <w:i/>
                <w:sz w:val="18"/>
                <w:szCs w:val="18"/>
              </w:rPr>
            </w:pPr>
            <w:r w:rsidRPr="00754228">
              <w:rPr>
                <w:rFonts w:cstheme="minorHAnsi"/>
                <w:i/>
                <w:sz w:val="18"/>
                <w:szCs w:val="18"/>
              </w:rPr>
              <w:t>Narodowy Instytut Dziedzictwa</w:t>
            </w:r>
          </w:p>
        </w:tc>
      </w:tr>
      <w:tr w:rsidR="007A0A3D" w:rsidRPr="00754228" w14:paraId="064DD2E1" w14:textId="77777777" w:rsidTr="00920CE8">
        <w:tc>
          <w:tcPr>
            <w:tcW w:w="480" w:type="dxa"/>
          </w:tcPr>
          <w:p w14:paraId="0ECA6329" w14:textId="77777777" w:rsidR="007A0A3D" w:rsidRPr="00754228" w:rsidRDefault="007A0A3D" w:rsidP="007A0A3D">
            <w:pPr>
              <w:pStyle w:val="Akapitzlist"/>
              <w:numPr>
                <w:ilvl w:val="0"/>
                <w:numId w:val="1"/>
              </w:numPr>
              <w:rPr>
                <w:rFonts w:cstheme="minorHAnsi"/>
                <w:sz w:val="18"/>
                <w:szCs w:val="18"/>
              </w:rPr>
            </w:pPr>
          </w:p>
        </w:tc>
        <w:tc>
          <w:tcPr>
            <w:tcW w:w="2350" w:type="dxa"/>
          </w:tcPr>
          <w:p w14:paraId="054ADC1D" w14:textId="77777777" w:rsidR="007A0A3D" w:rsidRPr="00754228" w:rsidRDefault="007A0A3D" w:rsidP="007A0A3D">
            <w:pPr>
              <w:rPr>
                <w:rFonts w:cstheme="minorHAnsi"/>
                <w:sz w:val="18"/>
                <w:szCs w:val="18"/>
              </w:rPr>
            </w:pPr>
            <w:r w:rsidRPr="00754228">
              <w:rPr>
                <w:rFonts w:cstheme="minorHAnsi"/>
                <w:sz w:val="18"/>
                <w:szCs w:val="18"/>
              </w:rPr>
              <w:t xml:space="preserve">Partnerzy </w:t>
            </w:r>
          </w:p>
        </w:tc>
        <w:tc>
          <w:tcPr>
            <w:tcW w:w="6232" w:type="dxa"/>
          </w:tcPr>
          <w:p w14:paraId="23EAEB33" w14:textId="411D7881" w:rsidR="007A0A3D" w:rsidRPr="00754228" w:rsidRDefault="0054660F" w:rsidP="00FD074F">
            <w:pPr>
              <w:jc w:val="both"/>
              <w:rPr>
                <w:rFonts w:cstheme="minorHAnsi"/>
                <w:i/>
                <w:sz w:val="18"/>
                <w:szCs w:val="18"/>
              </w:rPr>
            </w:pPr>
            <w:r>
              <w:rPr>
                <w:rFonts w:cstheme="minorHAnsi"/>
                <w:i/>
                <w:sz w:val="18"/>
                <w:szCs w:val="18"/>
              </w:rPr>
              <w:t>1</w:t>
            </w:r>
            <w:r w:rsidR="00501174" w:rsidRPr="00754228">
              <w:rPr>
                <w:rFonts w:cstheme="minorHAnsi"/>
                <w:i/>
                <w:sz w:val="18"/>
                <w:szCs w:val="18"/>
              </w:rPr>
              <w:t>6 Urzędów Wojewódzkich</w:t>
            </w:r>
            <w:r w:rsidR="009605C8">
              <w:rPr>
                <w:rFonts w:cstheme="minorHAnsi"/>
                <w:i/>
                <w:sz w:val="18"/>
                <w:szCs w:val="18"/>
              </w:rPr>
              <w:t>; Centralny Ośrodek Informatyki</w:t>
            </w:r>
          </w:p>
        </w:tc>
      </w:tr>
      <w:tr w:rsidR="003B107D" w:rsidRPr="00754228" w14:paraId="0C439FE4" w14:textId="77777777" w:rsidTr="00920CE8">
        <w:tc>
          <w:tcPr>
            <w:tcW w:w="480" w:type="dxa"/>
          </w:tcPr>
          <w:p w14:paraId="729FC2EC" w14:textId="77777777" w:rsidR="003B107D" w:rsidRPr="00754228" w:rsidRDefault="003B107D" w:rsidP="007A0A3D">
            <w:pPr>
              <w:pStyle w:val="Akapitzlist"/>
              <w:numPr>
                <w:ilvl w:val="0"/>
                <w:numId w:val="1"/>
              </w:numPr>
              <w:rPr>
                <w:rFonts w:cstheme="minorHAnsi"/>
                <w:sz w:val="18"/>
                <w:szCs w:val="18"/>
              </w:rPr>
            </w:pPr>
          </w:p>
        </w:tc>
        <w:tc>
          <w:tcPr>
            <w:tcW w:w="2350" w:type="dxa"/>
          </w:tcPr>
          <w:p w14:paraId="7605D8FC" w14:textId="77777777" w:rsidR="003B107D" w:rsidRPr="00754228" w:rsidRDefault="005A4344" w:rsidP="0092099A">
            <w:pPr>
              <w:jc w:val="both"/>
              <w:rPr>
                <w:rFonts w:cstheme="minorHAnsi"/>
                <w:sz w:val="18"/>
                <w:szCs w:val="18"/>
              </w:rPr>
            </w:pPr>
            <w:r w:rsidRPr="00754228">
              <w:rPr>
                <w:rFonts w:cstheme="minorHAnsi"/>
                <w:sz w:val="18"/>
                <w:szCs w:val="18"/>
              </w:rPr>
              <w:t>Postęp finansowy</w:t>
            </w:r>
          </w:p>
        </w:tc>
        <w:tc>
          <w:tcPr>
            <w:tcW w:w="6232" w:type="dxa"/>
          </w:tcPr>
          <w:p w14:paraId="5F7E0AF8" w14:textId="78D170C5" w:rsidR="001F5751" w:rsidRPr="0010121B" w:rsidRDefault="001F5751" w:rsidP="001F5751">
            <w:pPr>
              <w:pStyle w:val="Other0"/>
            </w:pPr>
            <w:r w:rsidRPr="0010121B">
              <w:rPr>
                <w:bCs/>
                <w:color w:val="000000"/>
              </w:rPr>
              <w:t xml:space="preserve">Pierwotny planowany koszt realizacji projektu: </w:t>
            </w:r>
            <w:r w:rsidR="000122D0">
              <w:rPr>
                <w:bCs/>
                <w:color w:val="000000"/>
              </w:rPr>
              <w:t>41 982 120,00</w:t>
            </w:r>
          </w:p>
          <w:p w14:paraId="0177C508" w14:textId="1B0945EB" w:rsidR="001F5751" w:rsidRPr="0010121B" w:rsidRDefault="001F5751" w:rsidP="001F5751">
            <w:pPr>
              <w:pStyle w:val="Other0"/>
            </w:pPr>
            <w:r w:rsidRPr="0010121B">
              <w:rPr>
                <w:bCs/>
                <w:color w:val="000000"/>
              </w:rPr>
              <w:t xml:space="preserve">Ostatni planowany koszt realizacji projektu: </w:t>
            </w:r>
            <w:r w:rsidR="000913B0">
              <w:rPr>
                <w:bCs/>
                <w:color w:val="000000"/>
              </w:rPr>
              <w:t>37 264 029,10</w:t>
            </w:r>
          </w:p>
          <w:p w14:paraId="6ACE7DD3" w14:textId="3E9AA4EC" w:rsidR="001F5751" w:rsidRPr="00645BF4" w:rsidRDefault="001F5751" w:rsidP="001F5751">
            <w:pPr>
              <w:pStyle w:val="Other0"/>
              <w:rPr>
                <w:b/>
                <w:bCs/>
                <w:iCs/>
                <w:color w:val="000000" w:themeColor="text1"/>
              </w:rPr>
            </w:pPr>
            <w:r w:rsidRPr="005F48BC">
              <w:rPr>
                <w:b/>
                <w:bCs/>
                <w:iCs/>
                <w:color w:val="000000"/>
              </w:rPr>
              <w:t>Faktyczny koszt projektu:</w:t>
            </w:r>
            <w:r w:rsidRPr="005F48BC">
              <w:rPr>
                <w:b/>
                <w:bCs/>
                <w:iCs/>
              </w:rPr>
              <w:t xml:space="preserve"> </w:t>
            </w:r>
            <w:r w:rsidR="005F344C" w:rsidRPr="00645BF4">
              <w:rPr>
                <w:b/>
                <w:bCs/>
                <w:iCs/>
                <w:color w:val="000000" w:themeColor="text1"/>
              </w:rPr>
              <w:t>34 618 739,70</w:t>
            </w:r>
          </w:p>
          <w:p w14:paraId="0EBDF128" w14:textId="6CCD4615" w:rsidR="001F5751" w:rsidRPr="00645BF4" w:rsidRDefault="001F5751" w:rsidP="001F5751">
            <w:pPr>
              <w:pStyle w:val="Other0"/>
              <w:rPr>
                <w:b/>
                <w:bCs/>
                <w:i/>
                <w:iCs/>
                <w:color w:val="000000" w:themeColor="text1"/>
              </w:rPr>
            </w:pPr>
            <w:r w:rsidRPr="00645BF4">
              <w:rPr>
                <w:b/>
                <w:bCs/>
                <w:i/>
                <w:iCs/>
                <w:color w:val="000000" w:themeColor="text1"/>
              </w:rPr>
              <w:t xml:space="preserve">Poziom realizacji kosztów w stosunku do ostatniego planu: </w:t>
            </w:r>
            <w:r w:rsidR="005F344C" w:rsidRPr="00645BF4">
              <w:rPr>
                <w:b/>
                <w:bCs/>
                <w:i/>
                <w:iCs/>
                <w:color w:val="000000" w:themeColor="text1"/>
              </w:rPr>
              <w:t>92,90</w:t>
            </w:r>
            <w:r w:rsidR="000913B0" w:rsidRPr="00645BF4">
              <w:rPr>
                <w:b/>
                <w:bCs/>
                <w:i/>
                <w:iCs/>
                <w:color w:val="000000" w:themeColor="text1"/>
              </w:rPr>
              <w:t xml:space="preserve"> %</w:t>
            </w:r>
          </w:p>
          <w:p w14:paraId="1573B29B" w14:textId="77777777" w:rsidR="001F5751" w:rsidRPr="00645BF4" w:rsidRDefault="001F5751" w:rsidP="0092099A">
            <w:pPr>
              <w:jc w:val="both"/>
              <w:rPr>
                <w:rFonts w:cstheme="minorHAnsi"/>
                <w:i/>
                <w:color w:val="000000" w:themeColor="text1"/>
                <w:sz w:val="18"/>
                <w:szCs w:val="18"/>
              </w:rPr>
            </w:pPr>
          </w:p>
          <w:p w14:paraId="6F884EAC" w14:textId="77777777" w:rsidR="003C4929" w:rsidRPr="00645BF4" w:rsidRDefault="003C4929" w:rsidP="0092099A">
            <w:pPr>
              <w:jc w:val="both"/>
              <w:rPr>
                <w:rFonts w:cstheme="minorHAnsi"/>
                <w:i/>
                <w:color w:val="000000" w:themeColor="text1"/>
                <w:sz w:val="18"/>
                <w:szCs w:val="18"/>
              </w:rPr>
            </w:pPr>
          </w:p>
          <w:p w14:paraId="1FE0363D" w14:textId="3C6040B7" w:rsidR="003C4929" w:rsidRPr="00645BF4" w:rsidRDefault="003C4929" w:rsidP="003C4929">
            <w:pPr>
              <w:pStyle w:val="Other0"/>
              <w:rPr>
                <w:color w:val="000000" w:themeColor="text1"/>
              </w:rPr>
            </w:pPr>
            <w:r w:rsidRPr="00645BF4">
              <w:rPr>
                <w:color w:val="000000" w:themeColor="text1"/>
              </w:rPr>
              <w:t xml:space="preserve">Oszczędności w wysokości </w:t>
            </w:r>
            <w:r w:rsidR="005F344C" w:rsidRPr="00645BF4">
              <w:rPr>
                <w:color w:val="000000" w:themeColor="text1"/>
              </w:rPr>
              <w:t xml:space="preserve"> 2 645 289,40</w:t>
            </w:r>
            <w:r w:rsidRPr="00645BF4">
              <w:rPr>
                <w:color w:val="000000" w:themeColor="text1"/>
              </w:rPr>
              <w:t xml:space="preserve"> zostały wygenerowane w poniższych zadaniach:</w:t>
            </w:r>
          </w:p>
          <w:p w14:paraId="0DE02699" w14:textId="372B6BBA" w:rsidR="003C4929" w:rsidRPr="00645BF4" w:rsidRDefault="003C4929" w:rsidP="003C4929">
            <w:pPr>
              <w:pStyle w:val="Other0"/>
              <w:numPr>
                <w:ilvl w:val="0"/>
                <w:numId w:val="8"/>
              </w:numPr>
              <w:rPr>
                <w:color w:val="000000" w:themeColor="text1"/>
              </w:rPr>
            </w:pPr>
            <w:r w:rsidRPr="00645BF4">
              <w:rPr>
                <w:b/>
                <w:color w:val="000000" w:themeColor="text1"/>
              </w:rPr>
              <w:t>Zadanie 1:</w:t>
            </w:r>
            <w:r w:rsidRPr="00645BF4">
              <w:rPr>
                <w:color w:val="000000" w:themeColor="text1"/>
              </w:rPr>
              <w:t xml:space="preserve"> </w:t>
            </w:r>
            <w:r w:rsidR="005F344C" w:rsidRPr="00645BF4">
              <w:rPr>
                <w:color w:val="000000" w:themeColor="text1"/>
              </w:rPr>
              <w:t xml:space="preserve">825 994,09 </w:t>
            </w:r>
          </w:p>
          <w:p w14:paraId="7E42897A" w14:textId="26090B67" w:rsidR="003C4929" w:rsidRPr="00645BF4" w:rsidRDefault="003C4929" w:rsidP="003C4929">
            <w:pPr>
              <w:pStyle w:val="Other0"/>
              <w:numPr>
                <w:ilvl w:val="0"/>
                <w:numId w:val="8"/>
              </w:numPr>
              <w:rPr>
                <w:color w:val="000000" w:themeColor="text1"/>
              </w:rPr>
            </w:pPr>
            <w:r w:rsidRPr="00645BF4">
              <w:rPr>
                <w:b/>
                <w:color w:val="000000" w:themeColor="text1"/>
              </w:rPr>
              <w:t>Zadanie 2:</w:t>
            </w:r>
            <w:r w:rsidRPr="00645BF4">
              <w:rPr>
                <w:color w:val="000000" w:themeColor="text1"/>
              </w:rPr>
              <w:t xml:space="preserve"> </w:t>
            </w:r>
            <w:r w:rsidR="005F344C" w:rsidRPr="00645BF4">
              <w:rPr>
                <w:color w:val="000000" w:themeColor="text1"/>
              </w:rPr>
              <w:t>598 530,64</w:t>
            </w:r>
          </w:p>
          <w:p w14:paraId="11C1A8BE" w14:textId="4F1249F0" w:rsidR="003C4929" w:rsidRPr="00645BF4" w:rsidRDefault="003C4929" w:rsidP="003C4929">
            <w:pPr>
              <w:pStyle w:val="Other0"/>
              <w:numPr>
                <w:ilvl w:val="0"/>
                <w:numId w:val="8"/>
              </w:numPr>
              <w:rPr>
                <w:color w:val="000000" w:themeColor="text1"/>
              </w:rPr>
            </w:pPr>
            <w:r w:rsidRPr="00645BF4">
              <w:rPr>
                <w:b/>
                <w:color w:val="000000" w:themeColor="text1"/>
              </w:rPr>
              <w:t>Zadanie 3:</w:t>
            </w:r>
            <w:r w:rsidRPr="00645BF4">
              <w:rPr>
                <w:color w:val="000000" w:themeColor="text1"/>
              </w:rPr>
              <w:t xml:space="preserve"> </w:t>
            </w:r>
            <w:r w:rsidR="005F344C" w:rsidRPr="00645BF4">
              <w:rPr>
                <w:color w:val="000000" w:themeColor="text1"/>
              </w:rPr>
              <w:t>112 227,44</w:t>
            </w:r>
          </w:p>
          <w:p w14:paraId="5B3F20F5" w14:textId="20F2262E" w:rsidR="003C4929" w:rsidRPr="00645BF4" w:rsidRDefault="003C4929" w:rsidP="003C4929">
            <w:pPr>
              <w:pStyle w:val="Other0"/>
              <w:numPr>
                <w:ilvl w:val="0"/>
                <w:numId w:val="8"/>
              </w:numPr>
              <w:rPr>
                <w:rFonts w:cstheme="minorHAnsi"/>
                <w:i/>
                <w:color w:val="000000" w:themeColor="text1"/>
              </w:rPr>
            </w:pPr>
            <w:r w:rsidRPr="00645BF4">
              <w:rPr>
                <w:b/>
                <w:color w:val="000000" w:themeColor="text1"/>
              </w:rPr>
              <w:t>Zadanie 4:</w:t>
            </w:r>
            <w:r w:rsidRPr="00645BF4">
              <w:rPr>
                <w:color w:val="000000" w:themeColor="text1"/>
              </w:rPr>
              <w:t xml:space="preserve"> </w:t>
            </w:r>
            <w:r w:rsidR="005F344C" w:rsidRPr="00645BF4">
              <w:rPr>
                <w:color w:val="000000" w:themeColor="text1"/>
              </w:rPr>
              <w:t>287 269,90</w:t>
            </w:r>
          </w:p>
          <w:p w14:paraId="0B86FEFA" w14:textId="3F2CD5B0" w:rsidR="005F344C" w:rsidRPr="00645BF4" w:rsidRDefault="005F344C" w:rsidP="003C4929">
            <w:pPr>
              <w:pStyle w:val="Other0"/>
              <w:numPr>
                <w:ilvl w:val="0"/>
                <w:numId w:val="8"/>
              </w:numPr>
              <w:rPr>
                <w:rFonts w:cstheme="minorHAnsi"/>
                <w:i/>
                <w:color w:val="000000" w:themeColor="text1"/>
              </w:rPr>
            </w:pPr>
            <w:r w:rsidRPr="00645BF4">
              <w:rPr>
                <w:b/>
                <w:color w:val="000000" w:themeColor="text1"/>
              </w:rPr>
              <w:t xml:space="preserve">Zadanie 5: </w:t>
            </w:r>
            <w:r w:rsidRPr="00645BF4">
              <w:rPr>
                <w:bCs/>
                <w:color w:val="000000" w:themeColor="text1"/>
              </w:rPr>
              <w:t>821 267,33</w:t>
            </w:r>
            <w:r w:rsidRPr="00645BF4">
              <w:rPr>
                <w:b/>
                <w:color w:val="000000" w:themeColor="text1"/>
              </w:rPr>
              <w:t xml:space="preserve"> </w:t>
            </w:r>
          </w:p>
          <w:p w14:paraId="5D175228" w14:textId="77777777" w:rsidR="003C4929" w:rsidRDefault="003C4929" w:rsidP="003C4929">
            <w:pPr>
              <w:pStyle w:val="Other0"/>
              <w:ind w:left="360"/>
              <w:rPr>
                <w:rFonts w:cstheme="minorHAnsi"/>
                <w:i/>
              </w:rPr>
            </w:pPr>
          </w:p>
          <w:p w14:paraId="73890620" w14:textId="77777777" w:rsidR="003C4929" w:rsidRDefault="003C4929" w:rsidP="003C4929">
            <w:pPr>
              <w:pStyle w:val="Other0"/>
              <w:ind w:left="360"/>
              <w:rPr>
                <w:rFonts w:cstheme="minorHAnsi"/>
                <w:i/>
              </w:rPr>
            </w:pPr>
          </w:p>
          <w:p w14:paraId="6C92C550" w14:textId="77777777" w:rsidR="003C4929" w:rsidRDefault="003C4929" w:rsidP="003C4929">
            <w:pPr>
              <w:pStyle w:val="Other0"/>
            </w:pPr>
          </w:p>
          <w:p w14:paraId="550E5D3A" w14:textId="77777777" w:rsidR="000122D0" w:rsidRDefault="003C4929" w:rsidP="003C4929">
            <w:pPr>
              <w:pStyle w:val="Other0"/>
              <w:rPr>
                <w:b/>
                <w:bCs/>
                <w:iCs/>
              </w:rPr>
            </w:pPr>
            <w:r w:rsidRPr="005F48BC">
              <w:rPr>
                <w:b/>
                <w:bCs/>
                <w:iCs/>
              </w:rPr>
              <w:t>Wartość korekt finansowych nałożonyc</w:t>
            </w:r>
            <w:r>
              <w:rPr>
                <w:b/>
                <w:bCs/>
                <w:iCs/>
              </w:rPr>
              <w:t>h na W</w:t>
            </w:r>
            <w:r w:rsidRPr="005F48BC">
              <w:rPr>
                <w:b/>
                <w:bCs/>
                <w:iCs/>
              </w:rPr>
              <w:t>ykonawców</w:t>
            </w:r>
            <w:r>
              <w:rPr>
                <w:b/>
                <w:bCs/>
                <w:iCs/>
              </w:rPr>
              <w:t xml:space="preserve">: </w:t>
            </w:r>
          </w:p>
          <w:p w14:paraId="55A87B9B" w14:textId="6918D543" w:rsidR="003C4929" w:rsidRDefault="000122D0" w:rsidP="003C4929">
            <w:pPr>
              <w:pStyle w:val="Other0"/>
              <w:rPr>
                <w:b/>
                <w:bCs/>
                <w:iCs/>
              </w:rPr>
            </w:pPr>
            <w:r>
              <w:rPr>
                <w:b/>
                <w:bCs/>
                <w:iCs/>
              </w:rPr>
              <w:t xml:space="preserve">- </w:t>
            </w:r>
            <w:r w:rsidR="00B01017">
              <w:rPr>
                <w:b/>
                <w:bCs/>
                <w:iCs/>
              </w:rPr>
              <w:t>19.000,00</w:t>
            </w:r>
            <w:r>
              <w:rPr>
                <w:b/>
                <w:bCs/>
                <w:iCs/>
              </w:rPr>
              <w:t xml:space="preserve"> zł</w:t>
            </w:r>
          </w:p>
          <w:p w14:paraId="3B9AD8BA" w14:textId="77777777" w:rsidR="003C4929" w:rsidRDefault="003C4929" w:rsidP="003C4929">
            <w:pPr>
              <w:pStyle w:val="Other0"/>
            </w:pPr>
          </w:p>
          <w:p w14:paraId="3E79353B" w14:textId="77777777" w:rsidR="003C4929" w:rsidRPr="000736F7" w:rsidRDefault="003C4929" w:rsidP="003C4929">
            <w:pPr>
              <w:pStyle w:val="Other0"/>
              <w:rPr>
                <w:b/>
              </w:rPr>
            </w:pPr>
            <w:r w:rsidRPr="000736F7">
              <w:rPr>
                <w:b/>
              </w:rPr>
              <w:t>Wyjaśnienie:</w:t>
            </w:r>
          </w:p>
          <w:p w14:paraId="4AFBF438" w14:textId="639E9007" w:rsidR="003C4929" w:rsidRDefault="00B01017" w:rsidP="003C4929">
            <w:pPr>
              <w:pStyle w:val="Other0"/>
              <w:rPr>
                <w:bCs/>
                <w:color w:val="000000"/>
              </w:rPr>
            </w:pPr>
            <w:r>
              <w:rPr>
                <w:bCs/>
                <w:color w:val="000000"/>
              </w:rPr>
              <w:t>Korekta dotyczy kar umownych z tytułu nieterminowego wykonania dwóch pierwszych etapów (z łącznie 21) geokodowania w ramach umowy na digitalizację dokumentacji ewidencyjnej zabytków oraz grobów i cmentarzy wojennych (Zadanie 1).</w:t>
            </w:r>
          </w:p>
          <w:p w14:paraId="3ED4F5BD" w14:textId="77777777" w:rsidR="003C4929" w:rsidRPr="005F48BC" w:rsidRDefault="003C4929" w:rsidP="003C4929">
            <w:pPr>
              <w:pStyle w:val="Other0"/>
              <w:rPr>
                <w:b/>
                <w:bCs/>
                <w:iCs/>
              </w:rPr>
            </w:pPr>
          </w:p>
          <w:p w14:paraId="0AE434FF" w14:textId="77777777" w:rsidR="003C4929" w:rsidRDefault="003C4929" w:rsidP="003C4929">
            <w:pPr>
              <w:pStyle w:val="Other0"/>
              <w:rPr>
                <w:b/>
                <w:bCs/>
                <w:i/>
                <w:iCs/>
              </w:rPr>
            </w:pPr>
          </w:p>
          <w:p w14:paraId="6FD1CC3D" w14:textId="539F851F" w:rsidR="003C4929" w:rsidRDefault="003C4929" w:rsidP="003C4929">
            <w:pPr>
              <w:pStyle w:val="Other0"/>
              <w:rPr>
                <w:b/>
                <w:bCs/>
                <w:iCs/>
              </w:rPr>
            </w:pPr>
            <w:r w:rsidRPr="005F48BC">
              <w:rPr>
                <w:b/>
                <w:bCs/>
                <w:iCs/>
              </w:rPr>
              <w:t>Wartość korekt finansowych nałożonych na Beneficjenta:</w:t>
            </w:r>
          </w:p>
          <w:p w14:paraId="111953BC" w14:textId="1850282F" w:rsidR="00645BF4" w:rsidRDefault="00645BF4" w:rsidP="003C4929">
            <w:pPr>
              <w:pStyle w:val="Other0"/>
              <w:rPr>
                <w:b/>
                <w:bCs/>
                <w:iCs/>
              </w:rPr>
            </w:pPr>
            <w:r>
              <w:rPr>
                <w:b/>
                <w:bCs/>
                <w:iCs/>
              </w:rPr>
              <w:t>- 241 783,85 zł</w:t>
            </w:r>
          </w:p>
          <w:p w14:paraId="360E8B0B" w14:textId="77777777" w:rsidR="005F344C" w:rsidRPr="005F48BC" w:rsidRDefault="005F344C" w:rsidP="003C4929">
            <w:pPr>
              <w:pStyle w:val="Other0"/>
              <w:rPr>
                <w:b/>
                <w:bCs/>
                <w:iCs/>
              </w:rPr>
            </w:pPr>
          </w:p>
          <w:p w14:paraId="1A7D7374" w14:textId="25C9E45B" w:rsidR="003C4929" w:rsidRDefault="003C4929" w:rsidP="00645BF4">
            <w:pPr>
              <w:pStyle w:val="Other0"/>
              <w:jc w:val="both"/>
              <w:rPr>
                <w:b/>
              </w:rPr>
            </w:pPr>
            <w:r w:rsidRPr="000736F7">
              <w:rPr>
                <w:b/>
              </w:rPr>
              <w:t>Wyjaśnienie:</w:t>
            </w:r>
            <w:r w:rsidR="00645BF4">
              <w:rPr>
                <w:b/>
              </w:rPr>
              <w:t xml:space="preserve"> Korekty zostały nałożone w związku ze stwierdzeniem w wyniku analizy ex-post postępowania przetargowego na „Rozbudowę systemu gromadzenia i powszechnego udostępniania danych o zabytkach, grobach i cmentarzach wojennych”, a także w związku z nieterminowym rozliczeniem zaliczki.</w:t>
            </w:r>
          </w:p>
          <w:p w14:paraId="64202B20" w14:textId="22A4A246" w:rsidR="00645BF4" w:rsidRDefault="00645BF4" w:rsidP="00645BF4">
            <w:pPr>
              <w:pStyle w:val="Other0"/>
              <w:jc w:val="both"/>
              <w:rPr>
                <w:b/>
              </w:rPr>
            </w:pPr>
            <w:r>
              <w:rPr>
                <w:b/>
              </w:rPr>
              <w:t>Na chwilę obecną trwa procedura związana z ostatecznym rozstrzygnięciem kwestii zasadności naliczenia korekt finansowych – z uwagi na fakt, iż owa procedura nie została zakończona, ostateczna wysokość korekty może ulec zmianie.</w:t>
            </w:r>
          </w:p>
          <w:p w14:paraId="5F9A9801" w14:textId="77777777" w:rsidR="003C4929" w:rsidRDefault="003C4929" w:rsidP="003C4929">
            <w:pPr>
              <w:pStyle w:val="Other0"/>
              <w:rPr>
                <w:b/>
              </w:rPr>
            </w:pPr>
          </w:p>
          <w:p w14:paraId="6ABCEB10" w14:textId="77777777" w:rsidR="003C4929" w:rsidRDefault="003C4929" w:rsidP="003C4929">
            <w:pPr>
              <w:pStyle w:val="Other0"/>
              <w:rPr>
                <w:rFonts w:cstheme="minorHAnsi"/>
                <w:i/>
              </w:rPr>
            </w:pPr>
          </w:p>
          <w:p w14:paraId="2AEA5AB3" w14:textId="3D9D6361" w:rsidR="00531750" w:rsidRPr="00754228" w:rsidRDefault="00531750" w:rsidP="0092099A">
            <w:pPr>
              <w:jc w:val="both"/>
              <w:rPr>
                <w:rFonts w:cstheme="minorHAnsi"/>
                <w:i/>
                <w:sz w:val="18"/>
                <w:szCs w:val="18"/>
              </w:rPr>
            </w:pPr>
            <w:r w:rsidRPr="00754228">
              <w:rPr>
                <w:rFonts w:cstheme="minorHAnsi"/>
                <w:i/>
                <w:sz w:val="18"/>
                <w:szCs w:val="18"/>
              </w:rPr>
              <w:t>Pierwotna wartość projektu została ustalona na poziomie 37 264 029,10 zł (100% wartości stanowią wydatki kwalifikowalne).</w:t>
            </w:r>
          </w:p>
          <w:p w14:paraId="59FA5116" w14:textId="73059274" w:rsidR="00531750" w:rsidRPr="00754228" w:rsidRDefault="00531750" w:rsidP="0092099A">
            <w:pPr>
              <w:jc w:val="both"/>
              <w:rPr>
                <w:rFonts w:cstheme="minorHAnsi"/>
                <w:i/>
                <w:sz w:val="18"/>
                <w:szCs w:val="18"/>
              </w:rPr>
            </w:pPr>
          </w:p>
          <w:p w14:paraId="37D067B3" w14:textId="49018B89" w:rsidR="00531750" w:rsidRPr="00754228" w:rsidRDefault="00531750" w:rsidP="0092099A">
            <w:pPr>
              <w:jc w:val="both"/>
              <w:rPr>
                <w:rFonts w:cstheme="minorHAnsi"/>
                <w:i/>
                <w:sz w:val="18"/>
                <w:szCs w:val="18"/>
              </w:rPr>
            </w:pPr>
            <w:r w:rsidRPr="00754228">
              <w:rPr>
                <w:rFonts w:cstheme="minorHAnsi"/>
                <w:i/>
                <w:sz w:val="18"/>
                <w:szCs w:val="18"/>
              </w:rPr>
              <w:t>Na koniec terminu realizacji projektu wydatkowana została kwota 34 622 680,09 zł (co stanowi 92,91% pierwotnej wartości); do końca okresu kwalifikowalności planuje się wydatkować łączną kwotę 34 624 934,09 zł (co będzie stanowić 92,92% początkowej wartości projektu.</w:t>
            </w:r>
          </w:p>
          <w:p w14:paraId="5B52EE8B" w14:textId="17963A4B" w:rsidR="00531750" w:rsidRPr="00754228" w:rsidRDefault="00531750" w:rsidP="0092099A">
            <w:pPr>
              <w:jc w:val="both"/>
              <w:rPr>
                <w:rFonts w:cstheme="minorHAnsi"/>
                <w:i/>
                <w:sz w:val="18"/>
                <w:szCs w:val="18"/>
              </w:rPr>
            </w:pPr>
          </w:p>
          <w:p w14:paraId="79470305" w14:textId="57C149CD" w:rsidR="00531750" w:rsidRPr="00754228" w:rsidRDefault="00531750" w:rsidP="0092099A">
            <w:pPr>
              <w:jc w:val="both"/>
              <w:rPr>
                <w:rFonts w:cstheme="minorHAnsi"/>
                <w:i/>
                <w:sz w:val="18"/>
                <w:szCs w:val="18"/>
              </w:rPr>
            </w:pPr>
            <w:r w:rsidRPr="00754228">
              <w:rPr>
                <w:rFonts w:cstheme="minorHAnsi"/>
                <w:i/>
                <w:sz w:val="18"/>
                <w:szCs w:val="18"/>
              </w:rPr>
              <w:t>Niższa niż początkowo planowano wartość projektu wynika przede wszystkim z faktu, iż największe działania w ramach projektu zrealizowano za niższe niż planowano kwoty (najkorzystniejsze oferty składane w postępowaniach przetargowych na prace związane z digitalizacja zasobów opiewały na kwoty znacznie niższe niż przewidywano; z tego też powodu w 2020 r. wystąpiono o zgodę na rozszerzenie zakresu rzeczowego projektu).</w:t>
            </w:r>
          </w:p>
          <w:p w14:paraId="2D392B52" w14:textId="053FA735" w:rsidR="00531750" w:rsidRPr="00754228" w:rsidRDefault="00531750" w:rsidP="0092099A">
            <w:pPr>
              <w:jc w:val="both"/>
              <w:rPr>
                <w:rFonts w:cstheme="minorHAnsi"/>
                <w:i/>
                <w:sz w:val="18"/>
                <w:szCs w:val="18"/>
              </w:rPr>
            </w:pPr>
          </w:p>
          <w:p w14:paraId="081E806E" w14:textId="77777777" w:rsidR="003B107D" w:rsidRDefault="00531750" w:rsidP="00BC120E">
            <w:pPr>
              <w:jc w:val="both"/>
              <w:rPr>
                <w:rFonts w:cstheme="minorHAnsi"/>
                <w:i/>
                <w:sz w:val="18"/>
                <w:szCs w:val="18"/>
              </w:rPr>
            </w:pPr>
            <w:r w:rsidRPr="00754228">
              <w:rPr>
                <w:rFonts w:cstheme="minorHAnsi"/>
                <w:i/>
                <w:sz w:val="18"/>
                <w:szCs w:val="18"/>
              </w:rPr>
              <w:lastRenderedPageBreak/>
              <w:t xml:space="preserve">Na koniec okresu realizacji projektu kwota wydatków w projekcie w zatwierdzonych wnioskach o płatność wynosi 33 035 817,87 zł (co stanowi </w:t>
            </w:r>
            <w:r w:rsidR="00E607AB" w:rsidRPr="00754228">
              <w:rPr>
                <w:rFonts w:cstheme="minorHAnsi"/>
                <w:i/>
                <w:sz w:val="18"/>
                <w:szCs w:val="18"/>
              </w:rPr>
              <w:t>95,41% ogółu wydatków w projekcie).</w:t>
            </w:r>
          </w:p>
          <w:p w14:paraId="1531AD0B" w14:textId="77777777" w:rsidR="003C4929" w:rsidRDefault="003C4929" w:rsidP="00BC120E">
            <w:pPr>
              <w:jc w:val="both"/>
              <w:rPr>
                <w:rFonts w:cstheme="minorHAnsi"/>
                <w:i/>
                <w:sz w:val="18"/>
                <w:szCs w:val="18"/>
              </w:rPr>
            </w:pPr>
          </w:p>
          <w:p w14:paraId="2DC83180" w14:textId="293661BC" w:rsidR="003C4929" w:rsidRDefault="003C4929" w:rsidP="003C4929">
            <w:pPr>
              <w:pStyle w:val="Other0"/>
              <w:rPr>
                <w:b/>
                <w:bCs/>
              </w:rPr>
            </w:pPr>
            <w:r>
              <w:rPr>
                <w:b/>
                <w:bCs/>
                <w:color w:val="000000"/>
              </w:rPr>
              <w:t xml:space="preserve">Zakontraktowana wartość dofinansowania: </w:t>
            </w:r>
            <w:r w:rsidR="004213CF">
              <w:rPr>
                <w:b/>
                <w:bCs/>
                <w:color w:val="000000"/>
              </w:rPr>
              <w:t>37 264 029,10</w:t>
            </w:r>
          </w:p>
          <w:p w14:paraId="741FBF4F" w14:textId="057EC31D" w:rsidR="003C4929" w:rsidRPr="005F48BC" w:rsidRDefault="003C4929" w:rsidP="003C4929">
            <w:pPr>
              <w:pStyle w:val="Other0"/>
              <w:rPr>
                <w:b/>
                <w:i/>
              </w:rPr>
            </w:pPr>
            <w:r w:rsidRPr="005F48BC">
              <w:rPr>
                <w:b/>
                <w:i/>
              </w:rPr>
              <w:t xml:space="preserve">Poziom certyfikacji w odniesieniu do zakontraktowanej wartości dofinansowania: </w:t>
            </w:r>
            <w:r w:rsidR="004213CF">
              <w:rPr>
                <w:b/>
                <w:i/>
              </w:rPr>
              <w:t xml:space="preserve">88,65% </w:t>
            </w:r>
            <w:r w:rsidR="004213CF" w:rsidRPr="004213CF">
              <w:rPr>
                <w:bCs/>
                <w:i/>
              </w:rPr>
              <w:t>(poziom dofinansowania w zatwierdzonych dotychczas wnioskach o płatność)</w:t>
            </w:r>
          </w:p>
          <w:p w14:paraId="24C3F2BA" w14:textId="65E60F16" w:rsidR="003C4929" w:rsidRPr="00754228" w:rsidRDefault="003C4929" w:rsidP="00BC120E">
            <w:pPr>
              <w:jc w:val="both"/>
              <w:rPr>
                <w:rFonts w:cstheme="minorHAnsi"/>
                <w:i/>
                <w:sz w:val="18"/>
                <w:szCs w:val="18"/>
              </w:rPr>
            </w:pPr>
          </w:p>
        </w:tc>
      </w:tr>
      <w:tr w:rsidR="007A0A3D" w:rsidRPr="00754228" w14:paraId="5393109C" w14:textId="77777777" w:rsidTr="00920CE8">
        <w:tc>
          <w:tcPr>
            <w:tcW w:w="480" w:type="dxa"/>
          </w:tcPr>
          <w:p w14:paraId="1959AAE6" w14:textId="4E5DDEA2" w:rsidR="007A0A3D" w:rsidRPr="00754228" w:rsidRDefault="007A0A3D" w:rsidP="007A0A3D">
            <w:pPr>
              <w:pStyle w:val="Akapitzlist"/>
              <w:numPr>
                <w:ilvl w:val="0"/>
                <w:numId w:val="1"/>
              </w:numPr>
              <w:rPr>
                <w:rFonts w:cstheme="minorHAnsi"/>
                <w:sz w:val="18"/>
                <w:szCs w:val="18"/>
              </w:rPr>
            </w:pPr>
          </w:p>
        </w:tc>
        <w:tc>
          <w:tcPr>
            <w:tcW w:w="2350" w:type="dxa"/>
          </w:tcPr>
          <w:p w14:paraId="1FFDEE75" w14:textId="77777777" w:rsidR="007A0A3D" w:rsidRPr="00754228" w:rsidRDefault="005A4344">
            <w:pPr>
              <w:rPr>
                <w:rFonts w:cstheme="minorHAnsi"/>
                <w:sz w:val="18"/>
                <w:szCs w:val="18"/>
              </w:rPr>
            </w:pPr>
            <w:r w:rsidRPr="00754228">
              <w:rPr>
                <w:rFonts w:cstheme="minorHAnsi"/>
                <w:sz w:val="18"/>
                <w:szCs w:val="18"/>
              </w:rPr>
              <w:t>Postęp rzeczowy</w:t>
            </w:r>
          </w:p>
        </w:tc>
        <w:tc>
          <w:tcPr>
            <w:tcW w:w="6232" w:type="dxa"/>
          </w:tcPr>
          <w:p w14:paraId="41F1A463" w14:textId="648962C9" w:rsidR="003C4929" w:rsidRPr="00850976" w:rsidRDefault="003C4929" w:rsidP="003C4929">
            <w:pPr>
              <w:pStyle w:val="Other0"/>
            </w:pPr>
            <w:r w:rsidRPr="00850976">
              <w:rPr>
                <w:bCs/>
                <w:color w:val="000000"/>
              </w:rPr>
              <w:t xml:space="preserve">Pierwotna planowana data rozpoczęcia realizacji projektu: </w:t>
            </w:r>
            <w:r w:rsidR="0054660F">
              <w:rPr>
                <w:bCs/>
                <w:color w:val="000000"/>
              </w:rPr>
              <w:t>28.01.2019 r.</w:t>
            </w:r>
          </w:p>
          <w:p w14:paraId="6E3C3D5C" w14:textId="6E872348" w:rsidR="003C4929" w:rsidRPr="00850976" w:rsidRDefault="003C4929" w:rsidP="003C4929">
            <w:pPr>
              <w:pStyle w:val="Other0"/>
            </w:pPr>
            <w:r w:rsidRPr="00850976">
              <w:rPr>
                <w:bCs/>
                <w:color w:val="000000"/>
              </w:rPr>
              <w:t xml:space="preserve">Ostatnia planowana data rozpoczęcia realizacji projektu: </w:t>
            </w:r>
            <w:r w:rsidR="0054660F">
              <w:rPr>
                <w:bCs/>
                <w:color w:val="000000"/>
              </w:rPr>
              <w:t>28.01.2019 r.</w:t>
            </w:r>
          </w:p>
          <w:p w14:paraId="180AD2A2" w14:textId="18BD93A0" w:rsidR="003C4929" w:rsidRDefault="003C4929" w:rsidP="003C4929">
            <w:pPr>
              <w:pStyle w:val="Other0"/>
            </w:pPr>
            <w:r>
              <w:rPr>
                <w:b/>
                <w:bCs/>
                <w:color w:val="000000"/>
              </w:rPr>
              <w:t xml:space="preserve">Faktyczna data rozpoczęcia realizacji projektu: </w:t>
            </w:r>
            <w:r w:rsidR="0054660F">
              <w:rPr>
                <w:b/>
                <w:bCs/>
                <w:color w:val="000000"/>
              </w:rPr>
              <w:t>28.01.2019 r.</w:t>
            </w:r>
          </w:p>
          <w:p w14:paraId="723F4D04" w14:textId="180B398A" w:rsidR="003C4929" w:rsidRPr="00850976" w:rsidRDefault="003C4929" w:rsidP="003C4929">
            <w:pPr>
              <w:pStyle w:val="Other0"/>
            </w:pPr>
            <w:r w:rsidRPr="00850976">
              <w:rPr>
                <w:bCs/>
                <w:color w:val="000000"/>
              </w:rPr>
              <w:t xml:space="preserve">Pierwotna planowana data zakończenia realizacji projektu: </w:t>
            </w:r>
            <w:r w:rsidR="0054660F">
              <w:rPr>
                <w:bCs/>
                <w:color w:val="000000"/>
              </w:rPr>
              <w:t>26.01.2022 r.</w:t>
            </w:r>
          </w:p>
          <w:p w14:paraId="017A8D31" w14:textId="42188F96" w:rsidR="003C4929" w:rsidRPr="00850976" w:rsidRDefault="003C4929" w:rsidP="003C4929">
            <w:pPr>
              <w:pStyle w:val="Other0"/>
            </w:pPr>
            <w:r w:rsidRPr="00850976">
              <w:rPr>
                <w:bCs/>
                <w:color w:val="000000"/>
              </w:rPr>
              <w:t xml:space="preserve">Ostatnia planowana data zakończenia realizacji projektu: </w:t>
            </w:r>
            <w:r w:rsidR="0054660F">
              <w:rPr>
                <w:bCs/>
                <w:color w:val="000000"/>
              </w:rPr>
              <w:t>30.09.2022 r.</w:t>
            </w:r>
          </w:p>
          <w:p w14:paraId="5587324B" w14:textId="70449BE9" w:rsidR="003C4929" w:rsidRDefault="003C4929" w:rsidP="003C4929">
            <w:pPr>
              <w:pStyle w:val="Other0"/>
              <w:rPr>
                <w:b/>
                <w:bCs/>
                <w:color w:val="000000"/>
              </w:rPr>
            </w:pPr>
            <w:r>
              <w:rPr>
                <w:b/>
                <w:bCs/>
                <w:color w:val="000000"/>
              </w:rPr>
              <w:t xml:space="preserve">Faktyczna data zakończenia realizacji projektu: </w:t>
            </w:r>
            <w:r w:rsidR="0054660F">
              <w:rPr>
                <w:b/>
                <w:bCs/>
                <w:color w:val="000000"/>
              </w:rPr>
              <w:t>30.09.2022 r.</w:t>
            </w:r>
          </w:p>
          <w:p w14:paraId="7EC02AAF" w14:textId="77777777" w:rsidR="003C4929" w:rsidRDefault="003C4929" w:rsidP="003C4929">
            <w:pPr>
              <w:pStyle w:val="Other0"/>
              <w:rPr>
                <w:b/>
                <w:bCs/>
                <w:color w:val="000000"/>
              </w:rPr>
            </w:pPr>
          </w:p>
          <w:p w14:paraId="06CE7B82" w14:textId="77777777" w:rsidR="003C4929" w:rsidRDefault="003C4929" w:rsidP="003C4929">
            <w:pPr>
              <w:pStyle w:val="Other0"/>
              <w:rPr>
                <w:b/>
                <w:bCs/>
                <w:color w:val="000000"/>
              </w:rPr>
            </w:pPr>
            <w:r>
              <w:rPr>
                <w:b/>
                <w:bCs/>
                <w:color w:val="000000"/>
              </w:rPr>
              <w:t>Przyczyną zmiany terminu zakończenia realizacji projektu w stosunku do pierwotnego planu jest:</w:t>
            </w:r>
          </w:p>
          <w:p w14:paraId="3A64CF18" w14:textId="7DB3E3DB" w:rsidR="003C4929" w:rsidRDefault="002E1D98" w:rsidP="003C4929">
            <w:pPr>
              <w:pStyle w:val="Other0"/>
              <w:rPr>
                <w:bCs/>
                <w:color w:val="000000"/>
              </w:rPr>
            </w:pPr>
            <w:r>
              <w:rPr>
                <w:bCs/>
                <w:color w:val="000000"/>
              </w:rPr>
              <w:t>Na wydłużenie terminu realizacji projektu wpływ miała przede wszystkim sytuacja epidemiczna (związana z pandemią koronawirusa SARS-CoV-2).</w:t>
            </w:r>
          </w:p>
          <w:p w14:paraId="48698D48" w14:textId="77777777" w:rsidR="003C4929" w:rsidRDefault="003C4929" w:rsidP="003C4929">
            <w:pPr>
              <w:pStyle w:val="Other0"/>
              <w:rPr>
                <w:b/>
                <w:bCs/>
                <w:color w:val="000000"/>
              </w:rPr>
            </w:pPr>
          </w:p>
          <w:p w14:paraId="145DDA87" w14:textId="77777777" w:rsidR="003C4929" w:rsidRDefault="003C4929" w:rsidP="003C4929">
            <w:pPr>
              <w:pStyle w:val="Other0"/>
            </w:pPr>
            <w:r>
              <w:rPr>
                <w:b/>
                <w:bCs/>
                <w:color w:val="000000"/>
              </w:rPr>
              <w:t>Wszystkie zadania w projekcie zostały zrealizowane zgodnie z planowanym zakresem. Status realizacji zadań na zakończenie projektu:</w:t>
            </w:r>
          </w:p>
          <w:p w14:paraId="2D32896A" w14:textId="77777777" w:rsidR="003C4929" w:rsidRDefault="003C4929" w:rsidP="003C4929">
            <w:pPr>
              <w:pStyle w:val="Other0"/>
              <w:rPr>
                <w:color w:val="000000"/>
              </w:rPr>
            </w:pPr>
          </w:p>
          <w:p w14:paraId="4DA15974" w14:textId="77777777" w:rsidR="003C4929" w:rsidRDefault="003C4929" w:rsidP="00E52249">
            <w:pPr>
              <w:jc w:val="both"/>
              <w:rPr>
                <w:rFonts w:cstheme="minorHAnsi"/>
                <w:i/>
                <w:sz w:val="18"/>
                <w:szCs w:val="18"/>
              </w:rPr>
            </w:pPr>
          </w:p>
          <w:p w14:paraId="14D809FA" w14:textId="71D942A0" w:rsidR="00670C49" w:rsidRPr="00754228" w:rsidRDefault="00670C49" w:rsidP="00E52249">
            <w:pPr>
              <w:jc w:val="both"/>
              <w:rPr>
                <w:rFonts w:cstheme="minorHAnsi"/>
                <w:i/>
                <w:sz w:val="18"/>
                <w:szCs w:val="18"/>
              </w:rPr>
            </w:pPr>
            <w:r w:rsidRPr="00754228">
              <w:rPr>
                <w:rFonts w:cstheme="minorHAnsi"/>
                <w:i/>
                <w:sz w:val="18"/>
                <w:szCs w:val="18"/>
              </w:rPr>
              <w:t>Kamienie Milowe:</w:t>
            </w:r>
          </w:p>
          <w:p w14:paraId="36DDE2DF" w14:textId="065EAD55" w:rsidR="00670C49" w:rsidRPr="00754228" w:rsidRDefault="00670C49" w:rsidP="00E52249">
            <w:pPr>
              <w:jc w:val="both"/>
              <w:rPr>
                <w:rFonts w:cstheme="minorHAnsi"/>
                <w:i/>
                <w:sz w:val="18"/>
                <w:szCs w:val="18"/>
              </w:rPr>
            </w:pPr>
            <w:r w:rsidRPr="00754228">
              <w:rPr>
                <w:rFonts w:cstheme="minorHAnsi"/>
                <w:i/>
                <w:sz w:val="18"/>
                <w:szCs w:val="18"/>
              </w:rPr>
              <w:t>I. Zadanie 1: Digitalizacja zasobów i rozbudowa dziedzinowej bazy danych o zabytkach oraz grobach i cmentarzach wojennych</w:t>
            </w:r>
          </w:p>
          <w:p w14:paraId="792C472E" w14:textId="664770D6" w:rsidR="00670C49" w:rsidRPr="00754228" w:rsidRDefault="00670C49" w:rsidP="00E52249">
            <w:pPr>
              <w:jc w:val="both"/>
              <w:rPr>
                <w:rFonts w:cstheme="minorHAnsi"/>
                <w:i/>
                <w:sz w:val="18"/>
                <w:szCs w:val="18"/>
              </w:rPr>
            </w:pPr>
            <w:r w:rsidRPr="00754228">
              <w:rPr>
                <w:rFonts w:cstheme="minorHAnsi"/>
                <w:i/>
                <w:sz w:val="18"/>
                <w:szCs w:val="18"/>
              </w:rPr>
              <w:t>1. Podpisanie umowy z wykonawcą usługi digitalizacji; planowana data realizacji: 25.06.2019; faktyczna data realizacji: 15.11.2019: przyczyna opóźnienia: Wydłużenie procedury przygotowania dokumentacji przetargowej w związku z podjętymi szerokimi konsultacjami; duża liczba pytań wykonawców i wydłużenie terminu składania ofert. Ponadto, złożony proces oceny ofert (prezentacja i ocena próbki produktów procesu digitalizacji), a także odwołanie jednego z uczestników postepowania od wyników przetargu. Rozstrzygnięcie KIO w całości uwzględnia stanowisko Zamawiającego. Termin nie zagraża osiągnięciu zakładanych celów projektu ze względu na skrócenie okresu realizacji usługi względem pierwotnie planowanej o 4 miesiące;</w:t>
            </w:r>
          </w:p>
          <w:p w14:paraId="2CB1705A" w14:textId="6AC0FC49" w:rsidR="00670C49" w:rsidRPr="00754228" w:rsidRDefault="00670C49" w:rsidP="00E52249">
            <w:pPr>
              <w:jc w:val="both"/>
              <w:rPr>
                <w:rFonts w:cstheme="minorHAnsi"/>
                <w:i/>
                <w:sz w:val="18"/>
                <w:szCs w:val="18"/>
              </w:rPr>
            </w:pPr>
            <w:r w:rsidRPr="00754228">
              <w:rPr>
                <w:rFonts w:cstheme="minorHAnsi"/>
                <w:i/>
                <w:sz w:val="18"/>
                <w:szCs w:val="18"/>
              </w:rPr>
              <w:t>2. Zakończenie opracowania metadanych i geokodowania; planowana data realizacji: 25.11.2021; faktyczna data realizacji: 30.12.2021; przyczyna opóźnienia: na opóźnienie miało wpływ przede wszystkim opóźnienie w terminie zakończenia postępowania przetargowego i późniejsze niż planowano rozpoczęcie realizacji usługi digitalizacji. Niemniej kamień został osiągnięty przed pierwotnym terminem zakończenia realizacji projektu (tj. sprzed zawarcia aneksów do umowy o dofinansowanie wydłużających okres finalnie do 30.09.2022).</w:t>
            </w:r>
          </w:p>
          <w:p w14:paraId="089B61C0" w14:textId="4C01C570" w:rsidR="00670C49" w:rsidRPr="00754228" w:rsidRDefault="00670C49" w:rsidP="00E52249">
            <w:pPr>
              <w:jc w:val="both"/>
              <w:rPr>
                <w:rFonts w:cstheme="minorHAnsi"/>
                <w:i/>
                <w:sz w:val="18"/>
                <w:szCs w:val="18"/>
              </w:rPr>
            </w:pPr>
          </w:p>
          <w:p w14:paraId="7B00267C" w14:textId="1A057D79" w:rsidR="00670C49" w:rsidRPr="00754228" w:rsidRDefault="00670C49" w:rsidP="00E52249">
            <w:pPr>
              <w:jc w:val="both"/>
              <w:rPr>
                <w:rFonts w:cstheme="minorHAnsi"/>
                <w:i/>
                <w:sz w:val="18"/>
                <w:szCs w:val="18"/>
              </w:rPr>
            </w:pPr>
            <w:r w:rsidRPr="00754228">
              <w:rPr>
                <w:rFonts w:cstheme="minorHAnsi"/>
                <w:i/>
                <w:sz w:val="18"/>
                <w:szCs w:val="18"/>
              </w:rPr>
              <w:t>II. Zadanie 2 - Rozbudowa systemu gromadzenia i powszechnego udostępniania zasobów cyfrowych o  zabytkach, grobach i cmentarzach wojennych</w:t>
            </w:r>
          </w:p>
          <w:p w14:paraId="5FAB3C55" w14:textId="1A33F561" w:rsidR="00670C49" w:rsidRPr="00754228" w:rsidRDefault="00670C49" w:rsidP="00E52249">
            <w:pPr>
              <w:jc w:val="both"/>
              <w:rPr>
                <w:rFonts w:cstheme="minorHAnsi"/>
                <w:i/>
                <w:sz w:val="18"/>
                <w:szCs w:val="18"/>
              </w:rPr>
            </w:pPr>
            <w:r w:rsidRPr="00754228">
              <w:rPr>
                <w:rFonts w:cstheme="minorHAnsi"/>
                <w:i/>
                <w:sz w:val="18"/>
                <w:szCs w:val="18"/>
              </w:rPr>
              <w:t>1. Dostawa i instalacja sprzętu IT; planowana data realizacji: 11.07.2019; faktyczna data realizacji: 26.09.2019; przyczyna opóźnienia: Brak bezwzględnej potrzeby instalacji sprzętu w Planowanej dacie; termin osiągnięcia przed datą punktu ostatecznego.</w:t>
            </w:r>
          </w:p>
          <w:p w14:paraId="56594A00" w14:textId="7D0969AA" w:rsidR="00670C49" w:rsidRPr="00754228" w:rsidRDefault="00670C49" w:rsidP="00E52249">
            <w:pPr>
              <w:jc w:val="both"/>
              <w:rPr>
                <w:rFonts w:cstheme="minorHAnsi"/>
                <w:i/>
                <w:sz w:val="18"/>
                <w:szCs w:val="18"/>
              </w:rPr>
            </w:pPr>
            <w:r w:rsidRPr="00754228">
              <w:rPr>
                <w:rFonts w:cstheme="minorHAnsi"/>
                <w:i/>
                <w:sz w:val="18"/>
                <w:szCs w:val="18"/>
              </w:rPr>
              <w:t xml:space="preserve">2. Podpisanie umowy z wykonawcą usługi budowy Systemu – oprogramowanie; planowana data realizacji: 27.10.2019; faktyczna data realizacji: 08.01.2020; przyczyny opóźnienia: </w:t>
            </w:r>
            <w:r w:rsidR="00AC01DE" w:rsidRPr="00754228">
              <w:rPr>
                <w:rFonts w:cstheme="minorHAnsi"/>
                <w:i/>
                <w:sz w:val="18"/>
                <w:szCs w:val="18"/>
              </w:rPr>
              <w:t>Środki na realizacje zadania znacząco ograniczone na etapie oceny merytorycznej aplikacji. Ze względu na wyższą kwotę szacowanych kosztów usługi w porównaniu z wartością pozycji w budżecie projektu, ogłoszenie przetargu (w konsekwencji także podpisanie umowy) uzależnione było od uzyskania oszczędności w projekcie. W szczególności ważne było uzyskanie informacji o potencjalnych oszczędnościach na Zadaniu nr 1. Opóźnienie podpisania umowy nie wpłynie negatywnie na osiągnięcie zakładanych celów projektu. Spowoduje ewentualne skrócenie okresu świadczenia asysty technicznej (wsparcia) po wdrożeniu systemu do zakończenia realizacji projektu.</w:t>
            </w:r>
          </w:p>
          <w:p w14:paraId="6D279D62" w14:textId="30655E94" w:rsidR="00AC01DE" w:rsidRPr="00754228" w:rsidRDefault="00AC01DE" w:rsidP="00E52249">
            <w:pPr>
              <w:jc w:val="both"/>
              <w:rPr>
                <w:rFonts w:cstheme="minorHAnsi"/>
                <w:i/>
                <w:sz w:val="18"/>
                <w:szCs w:val="18"/>
              </w:rPr>
            </w:pPr>
            <w:r w:rsidRPr="00754228">
              <w:rPr>
                <w:rFonts w:cstheme="minorHAnsi"/>
                <w:i/>
                <w:sz w:val="18"/>
                <w:szCs w:val="18"/>
              </w:rPr>
              <w:lastRenderedPageBreak/>
              <w:t>3. Prace programistyczne – zakończenie etapu II: implementacja wersji pilotażowej; planowana data realizacji: 26.07.2020; faktyczna data realizacji: 05.06.2020</w:t>
            </w:r>
          </w:p>
          <w:p w14:paraId="3BEA12DB" w14:textId="0A26BEEB" w:rsidR="00AC01DE" w:rsidRPr="00754228" w:rsidRDefault="00AC01DE" w:rsidP="00E52249">
            <w:pPr>
              <w:jc w:val="both"/>
              <w:rPr>
                <w:rFonts w:cstheme="minorHAnsi"/>
                <w:i/>
                <w:sz w:val="18"/>
                <w:szCs w:val="18"/>
              </w:rPr>
            </w:pPr>
            <w:r w:rsidRPr="00754228">
              <w:rPr>
                <w:rFonts w:cstheme="minorHAnsi"/>
                <w:i/>
                <w:sz w:val="18"/>
                <w:szCs w:val="18"/>
              </w:rPr>
              <w:t>4. Zakończenie prac programistycznych; planowana data realizacji: 25.04.2021; faktyczna data realizacji: 20.12.2021; przyczyny opóźnienia: Z uwagi na rozszerzenie zakresu umowy (w związku z rozszerzeniem zakresu rzeczowego Projektu) zakończenie prac programistycznych przewiduje się do końca 2021 roku</w:t>
            </w:r>
          </w:p>
          <w:p w14:paraId="01B7A973" w14:textId="77777777" w:rsidR="00670C49" w:rsidRPr="00754228" w:rsidRDefault="00670C49" w:rsidP="00E52249">
            <w:pPr>
              <w:jc w:val="both"/>
              <w:rPr>
                <w:rFonts w:cstheme="minorHAnsi"/>
                <w:i/>
                <w:sz w:val="18"/>
                <w:szCs w:val="18"/>
              </w:rPr>
            </w:pPr>
          </w:p>
          <w:p w14:paraId="6E26F642" w14:textId="374A47B0" w:rsidR="00670C49" w:rsidRPr="00754228" w:rsidRDefault="00AC01DE" w:rsidP="00E52249">
            <w:pPr>
              <w:jc w:val="both"/>
              <w:rPr>
                <w:rFonts w:cstheme="minorHAnsi"/>
                <w:i/>
                <w:sz w:val="18"/>
                <w:szCs w:val="18"/>
              </w:rPr>
            </w:pPr>
            <w:r w:rsidRPr="00754228">
              <w:rPr>
                <w:rFonts w:cstheme="minorHAnsi"/>
                <w:i/>
                <w:sz w:val="18"/>
                <w:szCs w:val="18"/>
              </w:rPr>
              <w:t>III. Zadanie 3: Informacja i promocja produktów Projektu</w:t>
            </w:r>
          </w:p>
          <w:p w14:paraId="37AD05FA" w14:textId="6A59124D" w:rsidR="00AC01DE" w:rsidRPr="00754228" w:rsidRDefault="00AC01DE" w:rsidP="00E52249">
            <w:pPr>
              <w:jc w:val="both"/>
              <w:rPr>
                <w:rFonts w:cstheme="minorHAnsi"/>
                <w:i/>
                <w:sz w:val="18"/>
                <w:szCs w:val="18"/>
              </w:rPr>
            </w:pPr>
            <w:r w:rsidRPr="00754228">
              <w:rPr>
                <w:rFonts w:cstheme="minorHAnsi"/>
                <w:i/>
                <w:sz w:val="18"/>
                <w:szCs w:val="18"/>
              </w:rPr>
              <w:t>1. Zakończenie kampanii promocyjnej; planowana data realizacji: 10.09.2022; faktyczna data realizacji: 22.09.2022;</w:t>
            </w:r>
          </w:p>
          <w:p w14:paraId="761FF467" w14:textId="42F00ADB" w:rsidR="00AC01DE" w:rsidRPr="00754228" w:rsidRDefault="00AC01DE" w:rsidP="00E52249">
            <w:pPr>
              <w:jc w:val="both"/>
              <w:rPr>
                <w:rFonts w:cstheme="minorHAnsi"/>
                <w:i/>
                <w:sz w:val="18"/>
                <w:szCs w:val="18"/>
              </w:rPr>
            </w:pPr>
          </w:p>
          <w:p w14:paraId="0DDD3BB8" w14:textId="5224EEDE" w:rsidR="00AC01DE" w:rsidRPr="00754228" w:rsidRDefault="00AC01DE" w:rsidP="00E52249">
            <w:pPr>
              <w:jc w:val="both"/>
              <w:rPr>
                <w:rFonts w:cstheme="minorHAnsi"/>
                <w:i/>
                <w:sz w:val="18"/>
                <w:szCs w:val="18"/>
              </w:rPr>
            </w:pPr>
            <w:r w:rsidRPr="00754228">
              <w:rPr>
                <w:rFonts w:cstheme="minorHAnsi"/>
                <w:i/>
                <w:sz w:val="18"/>
                <w:szCs w:val="18"/>
              </w:rPr>
              <w:t>IV. Zadanie 4: Zarządzanie projektem</w:t>
            </w:r>
          </w:p>
          <w:p w14:paraId="6DEC899F" w14:textId="35FBD3B4" w:rsidR="00AC01DE" w:rsidRPr="00754228" w:rsidRDefault="00AC01DE" w:rsidP="00E52249">
            <w:pPr>
              <w:jc w:val="both"/>
              <w:rPr>
                <w:rFonts w:cstheme="minorHAnsi"/>
                <w:i/>
                <w:sz w:val="18"/>
                <w:szCs w:val="18"/>
              </w:rPr>
            </w:pPr>
            <w:r w:rsidRPr="00754228">
              <w:rPr>
                <w:rFonts w:cstheme="minorHAnsi"/>
                <w:i/>
                <w:sz w:val="18"/>
                <w:szCs w:val="18"/>
              </w:rPr>
              <w:t>1. Opracowanie Raportu zakończenia etapu I; planowana data realizacji: 15.06.2019; faktyczna data realizacji: 15.06.2019;</w:t>
            </w:r>
          </w:p>
          <w:p w14:paraId="18F56C39" w14:textId="1207EFFE" w:rsidR="00AC01DE" w:rsidRPr="00754228" w:rsidRDefault="00AC01DE" w:rsidP="00E52249">
            <w:pPr>
              <w:jc w:val="both"/>
              <w:rPr>
                <w:rFonts w:cstheme="minorHAnsi"/>
                <w:i/>
                <w:sz w:val="18"/>
                <w:szCs w:val="18"/>
              </w:rPr>
            </w:pPr>
            <w:r w:rsidRPr="00754228">
              <w:rPr>
                <w:rFonts w:cstheme="minorHAnsi"/>
                <w:i/>
                <w:sz w:val="18"/>
                <w:szCs w:val="18"/>
              </w:rPr>
              <w:t>2. Opracowanie Raportu zakończenia etapu II; planowana data realizacji: 15.06.2020; faktyczna data realizacji: 15.06.2020;</w:t>
            </w:r>
          </w:p>
          <w:p w14:paraId="558E921A" w14:textId="4D0651B2" w:rsidR="00AC01DE" w:rsidRPr="00754228" w:rsidRDefault="00AC01DE" w:rsidP="00E52249">
            <w:pPr>
              <w:jc w:val="both"/>
              <w:rPr>
                <w:rFonts w:cstheme="minorHAnsi"/>
                <w:i/>
                <w:sz w:val="18"/>
                <w:szCs w:val="18"/>
              </w:rPr>
            </w:pPr>
            <w:r w:rsidRPr="00754228">
              <w:rPr>
                <w:rFonts w:cstheme="minorHAnsi"/>
                <w:i/>
                <w:sz w:val="18"/>
                <w:szCs w:val="18"/>
              </w:rPr>
              <w:t>3. Opracowanie Raportu zakończenia etapu III; planowana data realizacji: 15.06.2021; faktyczna data realizacji: 15.06.2022.</w:t>
            </w:r>
          </w:p>
          <w:p w14:paraId="0678F00F" w14:textId="689E337B" w:rsidR="00AC01DE" w:rsidRPr="00754228" w:rsidRDefault="00AC01DE" w:rsidP="00E52249">
            <w:pPr>
              <w:jc w:val="both"/>
              <w:rPr>
                <w:rFonts w:cstheme="minorHAnsi"/>
                <w:i/>
                <w:sz w:val="18"/>
                <w:szCs w:val="18"/>
              </w:rPr>
            </w:pPr>
          </w:p>
          <w:p w14:paraId="1829F331" w14:textId="25D97D9F" w:rsidR="00AC01DE" w:rsidRPr="00754228" w:rsidRDefault="00AC01DE" w:rsidP="00E52249">
            <w:pPr>
              <w:jc w:val="both"/>
              <w:rPr>
                <w:rFonts w:cstheme="minorHAnsi"/>
                <w:i/>
                <w:sz w:val="18"/>
                <w:szCs w:val="18"/>
              </w:rPr>
            </w:pPr>
            <w:r w:rsidRPr="00754228">
              <w:rPr>
                <w:rFonts w:cstheme="minorHAnsi"/>
                <w:i/>
                <w:sz w:val="18"/>
                <w:szCs w:val="18"/>
              </w:rPr>
              <w:t>V. Zadanie 5: Digitalizacja zasobów dotyczących zabytków nieruchomych</w:t>
            </w:r>
          </w:p>
          <w:p w14:paraId="23B4FF3A" w14:textId="4FF800B6" w:rsidR="00AC01DE" w:rsidRPr="00754228" w:rsidRDefault="00AC01DE" w:rsidP="00E52249">
            <w:pPr>
              <w:jc w:val="both"/>
              <w:rPr>
                <w:rFonts w:cstheme="minorHAnsi"/>
                <w:i/>
                <w:sz w:val="18"/>
                <w:szCs w:val="18"/>
              </w:rPr>
            </w:pPr>
            <w:r w:rsidRPr="00754228">
              <w:rPr>
                <w:rFonts w:cstheme="minorHAnsi"/>
                <w:i/>
                <w:sz w:val="18"/>
                <w:szCs w:val="18"/>
              </w:rPr>
              <w:t>1. Podpisanie umowy z wykonawcą usług digitalizacji dokumentacji fotograficznej (2D); planowana data realizacji: 30.06.2021; faktyczna data realizacji: 25.10.2021; przyczyna opóźnienia: Wydłużenie procedury przygotowania dokumentacji przetargowej z uwagi na utrudnienia wynikające ze zmienionej organizacji pracy w związku z panująca epidemią koronawirusa skutkującą m. in. wydłużonym procesem uzgadniania wytworzonych dokumentów (a także koniecznością aktualizacji wartości zamówień) oraz komplikacjami wynikającymi ze zmian związanych z nowelizacją przepisów dotyczących prowadzenia postępowań przetargowych. Ponadto, na wydłużenie realizacji procedury zamówieniowej wpływ miał fakt, że jeden z uczestników postępowania wniósł o kontrolę postępowania do UZP (oraz do CPPC). Z uwagi na konieczność zachowania wymogów terminowych dot. realizacji projektu (mimo braku informacji o terminie uzyskania wyniku kontroli z UZP) postępowanie zostało rozstrzygnięte i zawarto umowę w dn. 25.10.2021. Opóźnienie nie będzie mieć wpływu na termin osiągnięcia innych KM oraz na termin zakończenia Projektu.</w:t>
            </w:r>
          </w:p>
          <w:p w14:paraId="410A4980" w14:textId="2079328D" w:rsidR="002450C4" w:rsidRDefault="00AC01DE" w:rsidP="009D3D41">
            <w:pPr>
              <w:jc w:val="both"/>
              <w:rPr>
                <w:rFonts w:cstheme="minorHAnsi"/>
                <w:i/>
                <w:sz w:val="18"/>
                <w:szCs w:val="18"/>
              </w:rPr>
            </w:pPr>
            <w:r w:rsidRPr="00754228">
              <w:rPr>
                <w:rFonts w:cstheme="minorHAnsi"/>
                <w:i/>
                <w:sz w:val="18"/>
                <w:szCs w:val="18"/>
              </w:rPr>
              <w:t xml:space="preserve">2. Uruchomienie pracowni digitalizacyjnej w NID; planowana data realizacji: </w:t>
            </w:r>
            <w:r w:rsidR="001C7ABB">
              <w:rPr>
                <w:rFonts w:cstheme="minorHAnsi"/>
                <w:i/>
                <w:sz w:val="18"/>
                <w:szCs w:val="18"/>
              </w:rPr>
              <w:t>07.2021</w:t>
            </w:r>
            <w:r w:rsidRPr="00754228">
              <w:rPr>
                <w:rFonts w:cstheme="minorHAnsi"/>
                <w:i/>
                <w:sz w:val="18"/>
                <w:szCs w:val="18"/>
              </w:rPr>
              <w:t xml:space="preserve">; faktyczna data realizacji: </w:t>
            </w:r>
            <w:r w:rsidR="00963662" w:rsidRPr="00754228">
              <w:rPr>
                <w:rFonts w:cstheme="minorHAnsi"/>
                <w:i/>
                <w:sz w:val="18"/>
                <w:szCs w:val="18"/>
              </w:rPr>
              <w:t>28.02.2022</w:t>
            </w:r>
          </w:p>
          <w:p w14:paraId="6495157A" w14:textId="6C099199" w:rsidR="001C7ABB" w:rsidRPr="001C7ABB" w:rsidRDefault="001C7ABB" w:rsidP="009D3D41">
            <w:pPr>
              <w:jc w:val="both"/>
              <w:rPr>
                <w:rFonts w:cstheme="minorHAnsi"/>
                <w:i/>
                <w:iCs/>
                <w:sz w:val="18"/>
                <w:szCs w:val="18"/>
              </w:rPr>
            </w:pPr>
            <w:r w:rsidRPr="001C7ABB">
              <w:rPr>
                <w:rFonts w:cstheme="minorHAnsi"/>
                <w:i/>
                <w:iCs/>
                <w:color w:val="000000"/>
                <w:sz w:val="18"/>
                <w:szCs w:val="18"/>
              </w:rPr>
              <w:t>Kamień milowy dotyczy zakontraktowania usługi mieszczącej się Zadaniu nr 5 uruchomionym w związku z rozszerzeniem zakresu rzeczowego projektu (na podstawie aneksu nr 3 d UoD). Opóźnienie ma swoje podstawy w sytuacji epidemicznej skutkującej ograniczeniami wynikającymi ze zmienionej organizacji pracy w strukturze beneficjenta (w tym w zakresie procesu uzgadniania dokumentacji przetargowej). Pewne trudności wynikają także ze zmiany przepisów dotyczących przygotowania i prowadzenia postępowań o udzielenie zamówień.</w:t>
            </w:r>
          </w:p>
          <w:p w14:paraId="42B2833A" w14:textId="77777777" w:rsidR="003C4929" w:rsidRDefault="003C4929" w:rsidP="009D3D41">
            <w:pPr>
              <w:jc w:val="both"/>
              <w:rPr>
                <w:rFonts w:cstheme="minorHAnsi"/>
                <w:i/>
                <w:sz w:val="18"/>
                <w:szCs w:val="18"/>
              </w:rPr>
            </w:pPr>
          </w:p>
          <w:p w14:paraId="55611133" w14:textId="77777777" w:rsidR="003C4929" w:rsidRDefault="003C4929" w:rsidP="003C4929">
            <w:pPr>
              <w:pStyle w:val="Tablecaption0"/>
              <w:rPr>
                <w:b/>
                <w:bCs/>
                <w:sz w:val="18"/>
                <w:szCs w:val="18"/>
              </w:rPr>
            </w:pPr>
            <w:r>
              <w:rPr>
                <w:b/>
                <w:bCs/>
                <w:sz w:val="18"/>
                <w:szCs w:val="18"/>
              </w:rPr>
              <w:t xml:space="preserve">W wyniku realizacji projektu </w:t>
            </w:r>
            <w:r w:rsidRPr="507E343E">
              <w:rPr>
                <w:b/>
                <w:bCs/>
                <w:sz w:val="18"/>
                <w:szCs w:val="18"/>
              </w:rPr>
              <w:t xml:space="preserve">powstały poniżej wymienione </w:t>
            </w:r>
            <w:r>
              <w:rPr>
                <w:b/>
                <w:bCs/>
                <w:sz w:val="18"/>
                <w:szCs w:val="18"/>
              </w:rPr>
              <w:t>produkty:</w:t>
            </w:r>
          </w:p>
          <w:p w14:paraId="6700288C" w14:textId="5494374B" w:rsidR="003C4929" w:rsidRPr="00D60B86" w:rsidRDefault="001C7ABB" w:rsidP="001C7ABB">
            <w:pPr>
              <w:pStyle w:val="Tablecaption0"/>
              <w:numPr>
                <w:ilvl w:val="0"/>
                <w:numId w:val="16"/>
              </w:numPr>
              <w:rPr>
                <w:rFonts w:asciiTheme="minorHAnsi" w:hAnsiTheme="minorHAnsi" w:cstheme="minorHAnsi"/>
                <w:b/>
                <w:bCs/>
                <w:sz w:val="18"/>
                <w:szCs w:val="18"/>
              </w:rPr>
            </w:pPr>
            <w:r w:rsidRPr="00D60B86">
              <w:rPr>
                <w:rFonts w:asciiTheme="minorHAnsi" w:hAnsiTheme="minorHAnsi" w:cstheme="minorHAnsi"/>
                <w:color w:val="000000"/>
                <w:sz w:val="18"/>
                <w:szCs w:val="20"/>
              </w:rPr>
              <w:t>Dokumenty ewidencji zabytków nieruchomych wraz z metadanymi w ilości 182 329 szt. (w tym: Karty Białe – KB; Karty Zielone – KZ; karty obiektu niewpisanego do ewidencji zabytków – KEZN; karty cmentarzy – KC; karty obiektów z ewidencji parkowej – EP)</w:t>
            </w:r>
          </w:p>
          <w:p w14:paraId="551A124F" w14:textId="4972FD96" w:rsidR="00D60B86" w:rsidRPr="00D60B86" w:rsidRDefault="00D60B86" w:rsidP="001C7ABB">
            <w:pPr>
              <w:pStyle w:val="Tablecaption0"/>
              <w:numPr>
                <w:ilvl w:val="0"/>
                <w:numId w:val="16"/>
              </w:numPr>
              <w:rPr>
                <w:rFonts w:asciiTheme="minorHAnsi" w:hAnsiTheme="minorHAnsi" w:cstheme="minorHAnsi"/>
                <w:b/>
                <w:bCs/>
                <w:sz w:val="18"/>
                <w:szCs w:val="18"/>
              </w:rPr>
            </w:pPr>
            <w:r w:rsidRPr="00D60B86">
              <w:rPr>
                <w:rFonts w:asciiTheme="minorHAnsi" w:hAnsiTheme="minorHAnsi" w:cstheme="minorHAnsi"/>
                <w:color w:val="000000"/>
                <w:sz w:val="18"/>
                <w:szCs w:val="20"/>
              </w:rPr>
              <w:t>Dokumenty ewidencji zabytków archeologicznych wraz z metadanymi w ilości 504 885 szt. (w tym: mapy wielkoformatowe; dokumentacja badań w teczce; karty ewidencyjne zabytków archeologicznych – KEZA)</w:t>
            </w:r>
          </w:p>
          <w:p w14:paraId="5B775276" w14:textId="4FD46BDF" w:rsidR="00D60B86" w:rsidRPr="00D60B86" w:rsidRDefault="00D60B86" w:rsidP="001C7ABB">
            <w:pPr>
              <w:pStyle w:val="Tablecaption0"/>
              <w:numPr>
                <w:ilvl w:val="0"/>
                <w:numId w:val="16"/>
              </w:numPr>
              <w:rPr>
                <w:rFonts w:asciiTheme="minorHAnsi" w:hAnsiTheme="minorHAnsi" w:cstheme="minorHAnsi"/>
                <w:b/>
                <w:bCs/>
                <w:sz w:val="18"/>
                <w:szCs w:val="18"/>
              </w:rPr>
            </w:pPr>
            <w:r w:rsidRPr="00D60B86">
              <w:rPr>
                <w:rFonts w:asciiTheme="minorHAnsi" w:hAnsiTheme="minorHAnsi" w:cstheme="minorHAnsi"/>
                <w:color w:val="000000"/>
                <w:sz w:val="18"/>
                <w:szCs w:val="20"/>
              </w:rPr>
              <w:t>Dokumenty cmentarzy i grobów wojennych wraz z metadanymi w ilości 10 770 szt.</w:t>
            </w:r>
          </w:p>
          <w:p w14:paraId="233B3802" w14:textId="7F062B5F" w:rsidR="00D60B86" w:rsidRPr="00D60B86" w:rsidRDefault="00D60B86" w:rsidP="001C7ABB">
            <w:pPr>
              <w:pStyle w:val="Tablecaption0"/>
              <w:numPr>
                <w:ilvl w:val="0"/>
                <w:numId w:val="16"/>
              </w:numPr>
              <w:rPr>
                <w:rFonts w:asciiTheme="minorHAnsi" w:hAnsiTheme="minorHAnsi" w:cstheme="minorHAnsi"/>
                <w:b/>
                <w:bCs/>
                <w:sz w:val="18"/>
                <w:szCs w:val="18"/>
              </w:rPr>
            </w:pPr>
            <w:r w:rsidRPr="00D60B86">
              <w:rPr>
                <w:rFonts w:asciiTheme="minorHAnsi" w:hAnsiTheme="minorHAnsi" w:cstheme="minorHAnsi"/>
                <w:color w:val="000000"/>
                <w:sz w:val="18"/>
                <w:szCs w:val="20"/>
              </w:rPr>
              <w:t>Cyfrowe obiekty przestrzenne (zabytków nieruchomych, zabytków archeologicznych oraz grobów i cmentarzy wojennych) wraz z atrybutami opisowymi w ilości 697 984 szt.</w:t>
            </w:r>
          </w:p>
          <w:p w14:paraId="2ABAD2B9" w14:textId="11BEC9DB" w:rsidR="00D60B86" w:rsidRPr="00D60B86" w:rsidRDefault="00D60B86" w:rsidP="001C7ABB">
            <w:pPr>
              <w:pStyle w:val="Tablecaption0"/>
              <w:numPr>
                <w:ilvl w:val="0"/>
                <w:numId w:val="16"/>
              </w:numPr>
              <w:rPr>
                <w:rFonts w:asciiTheme="minorHAnsi" w:hAnsiTheme="minorHAnsi" w:cstheme="minorHAnsi"/>
                <w:b/>
                <w:bCs/>
                <w:sz w:val="18"/>
                <w:szCs w:val="18"/>
              </w:rPr>
            </w:pPr>
            <w:r w:rsidRPr="00D60B86">
              <w:rPr>
                <w:rFonts w:asciiTheme="minorHAnsi" w:hAnsiTheme="minorHAnsi" w:cstheme="minorHAnsi"/>
                <w:color w:val="000000"/>
                <w:sz w:val="18"/>
                <w:szCs w:val="20"/>
              </w:rPr>
              <w:t>Dokumenty dotyczące zabytków nieruchomych tzw. fiszki adresowe 600 000 szt.</w:t>
            </w:r>
          </w:p>
          <w:p w14:paraId="5F527F8B" w14:textId="6001D75D" w:rsidR="00D60B86" w:rsidRPr="00D60B86" w:rsidRDefault="00D60B86" w:rsidP="001C7ABB">
            <w:pPr>
              <w:pStyle w:val="Tablecaption0"/>
              <w:numPr>
                <w:ilvl w:val="0"/>
                <w:numId w:val="16"/>
              </w:numPr>
              <w:rPr>
                <w:rFonts w:asciiTheme="minorHAnsi" w:hAnsiTheme="minorHAnsi" w:cstheme="minorHAnsi"/>
                <w:b/>
                <w:bCs/>
                <w:sz w:val="18"/>
                <w:szCs w:val="18"/>
              </w:rPr>
            </w:pPr>
            <w:r w:rsidRPr="00D60B86">
              <w:rPr>
                <w:rFonts w:asciiTheme="minorHAnsi" w:hAnsiTheme="minorHAnsi" w:cstheme="minorHAnsi"/>
                <w:color w:val="000000"/>
                <w:sz w:val="18"/>
                <w:szCs w:val="20"/>
              </w:rPr>
              <w:t>Dokumentacja archiwalna, spuścizna naukowa – 10 400 szt.</w:t>
            </w:r>
          </w:p>
          <w:p w14:paraId="41AFF256" w14:textId="0C7B0F0D" w:rsidR="00D60B86" w:rsidRPr="00D60B86" w:rsidRDefault="00D60B86" w:rsidP="001C7ABB">
            <w:pPr>
              <w:pStyle w:val="Tablecaption0"/>
              <w:numPr>
                <w:ilvl w:val="0"/>
                <w:numId w:val="16"/>
              </w:numPr>
              <w:rPr>
                <w:rFonts w:asciiTheme="minorHAnsi" w:hAnsiTheme="minorHAnsi" w:cstheme="minorHAnsi"/>
                <w:b/>
                <w:bCs/>
                <w:sz w:val="18"/>
                <w:szCs w:val="18"/>
              </w:rPr>
            </w:pPr>
            <w:r w:rsidRPr="00D60B86">
              <w:rPr>
                <w:rFonts w:asciiTheme="minorHAnsi" w:hAnsiTheme="minorHAnsi" w:cstheme="minorHAnsi"/>
                <w:color w:val="000000"/>
                <w:sz w:val="18"/>
                <w:szCs w:val="20"/>
              </w:rPr>
              <w:t>Dokumentacja 3D obiektów zabytkowych – 25 szt.</w:t>
            </w:r>
          </w:p>
          <w:p w14:paraId="67FD1E11" w14:textId="44B97A2E" w:rsidR="00D60B86" w:rsidRPr="00D60B86" w:rsidRDefault="00D60B86" w:rsidP="001C7ABB">
            <w:pPr>
              <w:pStyle w:val="Tablecaption0"/>
              <w:numPr>
                <w:ilvl w:val="0"/>
                <w:numId w:val="16"/>
              </w:numPr>
              <w:rPr>
                <w:rFonts w:asciiTheme="minorHAnsi" w:hAnsiTheme="minorHAnsi" w:cstheme="minorHAnsi"/>
                <w:b/>
                <w:bCs/>
                <w:sz w:val="18"/>
                <w:szCs w:val="18"/>
              </w:rPr>
            </w:pPr>
            <w:r w:rsidRPr="00D60B86">
              <w:rPr>
                <w:rFonts w:asciiTheme="minorHAnsi" w:hAnsiTheme="minorHAnsi" w:cstheme="minorHAnsi"/>
                <w:color w:val="000000"/>
                <w:sz w:val="18"/>
                <w:szCs w:val="18"/>
              </w:rPr>
              <w:t>Zmodernizowane i rozbudowane oprogramowanie systemu</w:t>
            </w:r>
          </w:p>
          <w:p w14:paraId="1A91187F" w14:textId="324705F1" w:rsidR="00D60B86" w:rsidRPr="00D60B86" w:rsidRDefault="00D60B86" w:rsidP="001C7ABB">
            <w:pPr>
              <w:pStyle w:val="Tablecaption0"/>
              <w:numPr>
                <w:ilvl w:val="0"/>
                <w:numId w:val="16"/>
              </w:numPr>
              <w:rPr>
                <w:rFonts w:asciiTheme="minorHAnsi" w:hAnsiTheme="minorHAnsi" w:cstheme="minorHAnsi"/>
                <w:b/>
                <w:bCs/>
                <w:sz w:val="18"/>
                <w:szCs w:val="18"/>
              </w:rPr>
            </w:pPr>
            <w:r w:rsidRPr="00D60B86">
              <w:rPr>
                <w:rFonts w:asciiTheme="minorHAnsi" w:hAnsiTheme="minorHAnsi" w:cstheme="minorHAnsi"/>
                <w:sz w:val="18"/>
                <w:szCs w:val="18"/>
              </w:rPr>
              <w:lastRenderedPageBreak/>
              <w:t>Dostosowana do nowych wymagań systemu i rozbudowana infrastruktura serwerowni</w:t>
            </w:r>
          </w:p>
          <w:p w14:paraId="69BBB32F" w14:textId="77777777" w:rsidR="00D60B86" w:rsidRDefault="00D60B86" w:rsidP="00D60B86">
            <w:pPr>
              <w:pStyle w:val="Tablecaption0"/>
              <w:ind w:left="360"/>
              <w:rPr>
                <w:b/>
                <w:bCs/>
                <w:sz w:val="18"/>
                <w:szCs w:val="18"/>
              </w:rPr>
            </w:pPr>
          </w:p>
          <w:p w14:paraId="50DBCD56" w14:textId="22A4BC37" w:rsidR="003C4929" w:rsidRDefault="003C4929" w:rsidP="003C4929">
            <w:pPr>
              <w:pStyle w:val="Other0"/>
              <w:rPr>
                <w:b/>
                <w:bCs/>
                <w:color w:val="000000"/>
              </w:rPr>
            </w:pPr>
            <w:r>
              <w:rPr>
                <w:b/>
                <w:bCs/>
                <w:color w:val="000000"/>
              </w:rPr>
              <w:t>Zmiany i przyczyna zmian w zakresie głównych produktów projektu w stosunku do pierwotnego planu dotyczą:</w:t>
            </w:r>
          </w:p>
          <w:p w14:paraId="1A272BB1" w14:textId="6BC3F2C6" w:rsidR="001304DD" w:rsidRPr="00BA4BA3" w:rsidRDefault="009605C8" w:rsidP="003C4929">
            <w:pPr>
              <w:pStyle w:val="Other0"/>
              <w:rPr>
                <w:color w:val="000000"/>
              </w:rPr>
            </w:pPr>
            <w:r w:rsidRPr="00BA4BA3">
              <w:rPr>
                <w:color w:val="000000"/>
              </w:rPr>
              <w:t xml:space="preserve">Zmiany </w:t>
            </w:r>
            <w:r w:rsidR="001304DD" w:rsidRPr="00BA4BA3">
              <w:rPr>
                <w:color w:val="000000"/>
              </w:rPr>
              <w:t>odnoszące się do głównych produktów projektu w odniesieniu do pierwotnie założonego planu wynikają w głównej mierze z faktu, iż usługa digitalizacji realizowana w Zadaniu 1 została zakontraktowana na kwotę znacznie niższą niż pierwotnie zakładano (w efekcie rozstrzygnięcia postepowania przetargowego) – wygospodarowane oszczędności pozwoliły na podjęcie próby rozszerzenie zakresu rzeczowego projektu. Po pozytywnej weryfikacji wniosku została zawarty Aneks nr 3 do umowy o dofinansowanie, który zakładał:</w:t>
            </w:r>
          </w:p>
          <w:p w14:paraId="24D54B2C" w14:textId="44CE4613" w:rsidR="009605C8" w:rsidRPr="00BA4BA3" w:rsidRDefault="001304DD" w:rsidP="001304DD">
            <w:pPr>
              <w:pStyle w:val="Other0"/>
              <w:numPr>
                <w:ilvl w:val="0"/>
                <w:numId w:val="12"/>
              </w:numPr>
              <w:rPr>
                <w:color w:val="000000"/>
              </w:rPr>
            </w:pPr>
            <w:r w:rsidRPr="00BA4BA3">
              <w:rPr>
                <w:color w:val="000000"/>
              </w:rPr>
              <w:t>Dalszą rozbudowę systemu gromadzenia i powszechnego udostępniania danych o zabytkach (pozwalającą na gromadzenie kolejnych danych oraz prezentację produktów digitalizacji pochodzących z dodatkowych rodzajów dokumentów źródłowych);</w:t>
            </w:r>
          </w:p>
          <w:p w14:paraId="3863283C" w14:textId="10605A40" w:rsidR="001304DD" w:rsidRPr="00BA4BA3" w:rsidRDefault="001304DD" w:rsidP="001304DD">
            <w:pPr>
              <w:pStyle w:val="Other0"/>
              <w:numPr>
                <w:ilvl w:val="0"/>
                <w:numId w:val="12"/>
              </w:numPr>
              <w:rPr>
                <w:color w:val="000000"/>
              </w:rPr>
            </w:pPr>
            <w:r w:rsidRPr="00BA4BA3">
              <w:rPr>
                <w:color w:val="000000"/>
              </w:rPr>
              <w:t>Digitalizację dodatkowych rodzajów dokumentacji zabytków;</w:t>
            </w:r>
          </w:p>
          <w:p w14:paraId="5B730FE8" w14:textId="23081465" w:rsidR="001304DD" w:rsidRPr="00BA4BA3" w:rsidRDefault="001304DD" w:rsidP="001304DD">
            <w:pPr>
              <w:pStyle w:val="Other0"/>
              <w:numPr>
                <w:ilvl w:val="0"/>
                <w:numId w:val="12"/>
              </w:numPr>
              <w:rPr>
                <w:color w:val="000000"/>
              </w:rPr>
            </w:pPr>
            <w:r w:rsidRPr="00BA4BA3">
              <w:rPr>
                <w:color w:val="000000"/>
              </w:rPr>
              <w:t>Trójwymiarową digitalizacje 25 wybranych obiektów zabytkowych znajdujących się na terenie całej Polski;</w:t>
            </w:r>
          </w:p>
          <w:p w14:paraId="657958E2" w14:textId="40155D33" w:rsidR="001304DD" w:rsidRPr="00BA4BA3" w:rsidRDefault="001304DD" w:rsidP="001304DD">
            <w:pPr>
              <w:pStyle w:val="Other0"/>
              <w:numPr>
                <w:ilvl w:val="0"/>
                <w:numId w:val="12"/>
              </w:numPr>
              <w:rPr>
                <w:color w:val="000000"/>
              </w:rPr>
            </w:pPr>
            <w:r w:rsidRPr="00BA4BA3">
              <w:rPr>
                <w:color w:val="000000"/>
              </w:rPr>
              <w:t>Urządzenie, wyposażenie i uruchomienie pracowni digitalizacyjnej</w:t>
            </w:r>
          </w:p>
          <w:p w14:paraId="0C205EA6" w14:textId="77777777" w:rsidR="003C4929" w:rsidRDefault="003C4929" w:rsidP="003C4929">
            <w:pPr>
              <w:pStyle w:val="Tablecaption0"/>
              <w:rPr>
                <w:sz w:val="18"/>
                <w:szCs w:val="18"/>
              </w:rPr>
            </w:pPr>
          </w:p>
          <w:p w14:paraId="1C646C15" w14:textId="1DCC4984" w:rsidR="003C4929" w:rsidRPr="00754228" w:rsidRDefault="003C4929" w:rsidP="009D3D41">
            <w:pPr>
              <w:jc w:val="both"/>
              <w:rPr>
                <w:rFonts w:cstheme="minorHAnsi"/>
                <w:i/>
                <w:sz w:val="18"/>
                <w:szCs w:val="18"/>
              </w:rPr>
            </w:pPr>
          </w:p>
        </w:tc>
      </w:tr>
      <w:tr w:rsidR="004D135D" w:rsidRPr="00754228" w14:paraId="787FFE9D" w14:textId="77777777" w:rsidTr="00920CE8">
        <w:tc>
          <w:tcPr>
            <w:tcW w:w="480" w:type="dxa"/>
          </w:tcPr>
          <w:p w14:paraId="4BF1063D" w14:textId="77777777" w:rsidR="004D135D" w:rsidRPr="00754228" w:rsidRDefault="004D135D" w:rsidP="007A0A3D">
            <w:pPr>
              <w:pStyle w:val="Akapitzlist"/>
              <w:numPr>
                <w:ilvl w:val="0"/>
                <w:numId w:val="1"/>
              </w:numPr>
              <w:rPr>
                <w:rFonts w:cstheme="minorHAnsi"/>
                <w:sz w:val="18"/>
                <w:szCs w:val="18"/>
              </w:rPr>
            </w:pPr>
          </w:p>
        </w:tc>
        <w:tc>
          <w:tcPr>
            <w:tcW w:w="2350" w:type="dxa"/>
          </w:tcPr>
          <w:p w14:paraId="78893CA1" w14:textId="77777777" w:rsidR="004D135D" w:rsidRPr="00754228" w:rsidRDefault="004D135D">
            <w:pPr>
              <w:rPr>
                <w:rFonts w:cstheme="minorHAnsi"/>
                <w:sz w:val="18"/>
                <w:szCs w:val="18"/>
              </w:rPr>
            </w:pPr>
            <w:r w:rsidRPr="00754228">
              <w:rPr>
                <w:rFonts w:cstheme="minorHAnsi"/>
                <w:sz w:val="18"/>
                <w:szCs w:val="18"/>
              </w:rPr>
              <w:t>E-usługi dla obywateli i przedsiębiorców</w:t>
            </w:r>
          </w:p>
        </w:tc>
        <w:tc>
          <w:tcPr>
            <w:tcW w:w="6232" w:type="dxa"/>
          </w:tcPr>
          <w:p w14:paraId="7B68A49C" w14:textId="31D7AE47" w:rsidR="004D135D" w:rsidRPr="00754228" w:rsidRDefault="00963662" w:rsidP="00E30008">
            <w:pPr>
              <w:rPr>
                <w:rFonts w:cstheme="minorHAnsi"/>
                <w:bCs/>
                <w:i/>
                <w:sz w:val="18"/>
                <w:szCs w:val="18"/>
              </w:rPr>
            </w:pPr>
            <w:r w:rsidRPr="00754228">
              <w:rPr>
                <w:rFonts w:cstheme="minorHAnsi"/>
                <w:bCs/>
                <w:i/>
                <w:sz w:val="18"/>
                <w:szCs w:val="18"/>
              </w:rPr>
              <w:t>NIE DOTYCZY</w:t>
            </w:r>
          </w:p>
        </w:tc>
      </w:tr>
      <w:tr w:rsidR="00920CE8" w:rsidRPr="00754228" w14:paraId="01C149CB" w14:textId="77777777" w:rsidTr="00920CE8">
        <w:tc>
          <w:tcPr>
            <w:tcW w:w="480" w:type="dxa"/>
          </w:tcPr>
          <w:p w14:paraId="6157B64F" w14:textId="77777777" w:rsidR="00920CE8" w:rsidRPr="00754228" w:rsidRDefault="00920CE8" w:rsidP="007A0A3D">
            <w:pPr>
              <w:pStyle w:val="Akapitzlist"/>
              <w:numPr>
                <w:ilvl w:val="0"/>
                <w:numId w:val="1"/>
              </w:numPr>
              <w:rPr>
                <w:rFonts w:cstheme="minorHAnsi"/>
                <w:sz w:val="18"/>
                <w:szCs w:val="18"/>
              </w:rPr>
            </w:pPr>
          </w:p>
        </w:tc>
        <w:tc>
          <w:tcPr>
            <w:tcW w:w="2350" w:type="dxa"/>
          </w:tcPr>
          <w:p w14:paraId="7CF9D67A" w14:textId="77777777" w:rsidR="00920CE8" w:rsidRPr="00754228" w:rsidRDefault="00920CE8" w:rsidP="0092099A">
            <w:pPr>
              <w:rPr>
                <w:rFonts w:cstheme="minorHAnsi"/>
                <w:sz w:val="18"/>
                <w:szCs w:val="18"/>
              </w:rPr>
            </w:pPr>
            <w:r w:rsidRPr="00754228">
              <w:rPr>
                <w:rFonts w:cstheme="minorHAnsi"/>
                <w:sz w:val="18"/>
                <w:szCs w:val="18"/>
              </w:rPr>
              <w:t>Postęp w realizacji strategicznych celów Państwa</w:t>
            </w:r>
          </w:p>
        </w:tc>
        <w:tc>
          <w:tcPr>
            <w:tcW w:w="6232" w:type="dxa"/>
          </w:tcPr>
          <w:p w14:paraId="28411052" w14:textId="29E66442" w:rsidR="003C4929" w:rsidRDefault="003C4929" w:rsidP="003C4929">
            <w:pPr>
              <w:pStyle w:val="Other0"/>
              <w:rPr>
                <w:b/>
                <w:bCs/>
              </w:rPr>
            </w:pPr>
            <w:r w:rsidRPr="004A74DA">
              <w:rPr>
                <w:b/>
                <w:bCs/>
              </w:rPr>
              <w:t>Zgodność z krajowymi dokumentami strategicznymi:</w:t>
            </w:r>
          </w:p>
          <w:p w14:paraId="06A0F559" w14:textId="235DF3DB" w:rsidR="000913B0" w:rsidRDefault="000913B0" w:rsidP="000913B0">
            <w:pPr>
              <w:pStyle w:val="Other0"/>
              <w:numPr>
                <w:ilvl w:val="0"/>
                <w:numId w:val="10"/>
              </w:numPr>
              <w:rPr>
                <w:b/>
                <w:bCs/>
              </w:rPr>
            </w:pPr>
            <w:r>
              <w:rPr>
                <w:b/>
                <w:bCs/>
              </w:rPr>
              <w:t>Strategia rozwoju kraju. Polska 2030</w:t>
            </w:r>
          </w:p>
          <w:p w14:paraId="2FF26838" w14:textId="77777777" w:rsidR="001C7ABB" w:rsidRPr="001C7ABB" w:rsidRDefault="001C7ABB" w:rsidP="001C7ABB">
            <w:pPr>
              <w:jc w:val="both"/>
              <w:rPr>
                <w:sz w:val="18"/>
                <w:szCs w:val="18"/>
              </w:rPr>
            </w:pPr>
            <w:r w:rsidRPr="001C7ABB">
              <w:rPr>
                <w:sz w:val="18"/>
                <w:szCs w:val="18"/>
              </w:rPr>
              <w:t>Strategia Rozwoju Kraju. Polska 2030. Trzecia fala nowoczesności. Warszawa 11.01.2013, Cel 5 Stworzenie Polski Cyfrowej (obszar konkurencyjność i innowacyjność). W tym kierunku zadaniem państwa jest „wspieranie procesu tworzenia infrastruktury cyfrowej (…) digitalizacja i udostępnienie zasobów dziedzictwa i kultury (…) otwieranie zasobów publicznych” oraz Cel 11 Wzrost społecznego kapitału rozwoju (obszar efektywność i sprawność państwa). Ważnym aspektem wymienionym we wstępie do tego celu jest fakt, że w wyniku realizacji Strategii „dziedzictwo kulturowe i cywilizacyjne dostępne będzie publicznie, także w przestrzeni wirtualnej dla każdego” a „rozwój technologii komunikacyjnych i cyfrowych (…) to jedno z podstawowych narządzi wymiany informacji i wiedzy”.</w:t>
            </w:r>
          </w:p>
          <w:p w14:paraId="6660F05F" w14:textId="77777777" w:rsidR="001C7ABB" w:rsidRDefault="001C7ABB" w:rsidP="001C7ABB">
            <w:pPr>
              <w:pStyle w:val="Other0"/>
              <w:ind w:left="720"/>
              <w:rPr>
                <w:b/>
                <w:bCs/>
              </w:rPr>
            </w:pPr>
          </w:p>
          <w:p w14:paraId="4AD82976" w14:textId="19990AF4" w:rsidR="000913B0" w:rsidRDefault="000913B0" w:rsidP="000913B0">
            <w:pPr>
              <w:pStyle w:val="Other0"/>
              <w:numPr>
                <w:ilvl w:val="0"/>
                <w:numId w:val="10"/>
              </w:numPr>
              <w:rPr>
                <w:b/>
                <w:bCs/>
              </w:rPr>
            </w:pPr>
            <w:r>
              <w:rPr>
                <w:b/>
                <w:bCs/>
              </w:rPr>
              <w:t>Strategia Sprawne Państwo</w:t>
            </w:r>
          </w:p>
          <w:p w14:paraId="1F45DF4D" w14:textId="18E4D5B0" w:rsidR="001C7ABB" w:rsidRDefault="001C7ABB" w:rsidP="001C7ABB">
            <w:pPr>
              <w:pStyle w:val="Other0"/>
              <w:jc w:val="both"/>
            </w:pPr>
            <w:r w:rsidRPr="001D6D4C">
              <w:t>Strategia Sprawne Państwo. Warszawa, 12.02.2013, Cel 1: Otwarty rząd, kierunek interwencji 1.1.</w:t>
            </w:r>
            <w:r>
              <w:t xml:space="preserve"> </w:t>
            </w:r>
            <w:r w:rsidRPr="001D6D4C">
              <w:t>Otwarcie zasobów sektora publicznego, który zakłada „wprowadzenie zasady pełnego i otwartego dostępu oraz możliwości ponownego wykorzystywania informacji publicznej”, Cel 2 Zwiększenie sprawności instytucjonalnej państwa, kierunek interwencji 2.3.</w:t>
            </w:r>
            <w:r>
              <w:t xml:space="preserve"> </w:t>
            </w:r>
            <w:r w:rsidRPr="001D6D4C">
              <w:t>Efektywne i funkcjonalne urzędy administracji publicznej. Cel 3: Skuteczne zarządzanie i koordynacja działań rozwojowych, kierunek interwencji 3.2 Skuteczny system zarządzania rozwojem kraju oraz kierunek interwencji 3.4 Wzmocnienie pozycji międzynarodowej państwa. Projekt będzie stanowił odpowiedź na „konieczność podjęcia działań w celu podniesienia poziomu edukacji obywatelskiej, kulturalnej i zawodowej na rzecz nowoczesnej promocji i budowania pozytywnego wizerunku Polski”. Cel 5 Efektywne świadczenie usług publicznych, kierunek interwencji 5.5 Standaryzacja i zarządzanie usługami publicznymi, ze szczególnym uwzględnieniem technologii cyfrowych „we wszystkich podstawowych dziedzinach aktywności administracji publicznej, ułatwiających obywatelom korzystanie z nich niezależnie od miejsca zamieszkania i statusu społecznego”.</w:t>
            </w:r>
          </w:p>
          <w:p w14:paraId="1DE6728B" w14:textId="77777777" w:rsidR="001C7ABB" w:rsidRDefault="001C7ABB" w:rsidP="001C7ABB">
            <w:pPr>
              <w:pStyle w:val="Other0"/>
              <w:jc w:val="both"/>
              <w:rPr>
                <w:b/>
                <w:bCs/>
              </w:rPr>
            </w:pPr>
          </w:p>
          <w:p w14:paraId="764EB01D" w14:textId="2CC4FB6A" w:rsidR="000913B0" w:rsidRDefault="004213CF" w:rsidP="000913B0">
            <w:pPr>
              <w:pStyle w:val="Other0"/>
              <w:numPr>
                <w:ilvl w:val="0"/>
                <w:numId w:val="10"/>
              </w:numPr>
              <w:rPr>
                <w:b/>
                <w:bCs/>
              </w:rPr>
            </w:pPr>
            <w:r>
              <w:rPr>
                <w:b/>
                <w:bCs/>
              </w:rPr>
              <w:t>Strategia na rzecz Odpowiedzialnego Rozwoju do roku 2020 (z perspektywą do 2030 r.)</w:t>
            </w:r>
          </w:p>
          <w:p w14:paraId="1BEDDED6" w14:textId="6BA15A9F" w:rsidR="001C7ABB" w:rsidRDefault="001C7ABB" w:rsidP="001C7ABB">
            <w:pPr>
              <w:pStyle w:val="Other0"/>
              <w:jc w:val="both"/>
            </w:pPr>
            <w:r w:rsidRPr="001D6D4C">
              <w:t xml:space="preserve">Strategia na rzecz Odpowiedzialnego Rozwoju do roku 2020 (z perspektywą do 2030 r.) przyjęta Uchwałą RM z dnia 14 lutego 2017 r. Zgodność z celem szczegółowym III. Skuteczne państwo i instytucje służące wzrostowi oraz włączeniu społecznemu i gospodarczemu, Obszarze E-państwo oraz obszar wpływający na osiągnięcie celów Strategii: Cyfryzacja. Kierunek interwencji Budowa i rozwój e-administracji – orientacja administracji na usługi cyfrowe. Wśród strategicznych </w:t>
            </w:r>
            <w:r w:rsidRPr="001D6D4C">
              <w:lastRenderedPageBreak/>
              <w:t>projektów wymieniono: Digitalizacja i  rozwój kultury cyfrowej – kontynuacja procesów związanych z  digitalizacją, przechowywaniem i udostępnianiem różnego typu zasobów dziedzictwa cyfrowego w Polsce (muzealnych, bibliotecznych, archiwalnych, audiowizualnych i zabytków), w tym do celów ponownego wykorzystywania, w ramach którego digitalizację należy rozumieć jako nowoczesną formę konserwacji i zabezpieczania najcenniejszych zasobów kultury.</w:t>
            </w:r>
          </w:p>
          <w:p w14:paraId="281E703D" w14:textId="77777777" w:rsidR="001C7ABB" w:rsidRDefault="001C7ABB" w:rsidP="001C7ABB">
            <w:pPr>
              <w:pStyle w:val="Other0"/>
              <w:jc w:val="both"/>
              <w:rPr>
                <w:b/>
                <w:bCs/>
              </w:rPr>
            </w:pPr>
          </w:p>
          <w:p w14:paraId="6CCDEF2D" w14:textId="32C48BFC" w:rsidR="004213CF" w:rsidRDefault="004213CF" w:rsidP="000913B0">
            <w:pPr>
              <w:pStyle w:val="Other0"/>
              <w:numPr>
                <w:ilvl w:val="0"/>
                <w:numId w:val="10"/>
              </w:numPr>
              <w:rPr>
                <w:b/>
                <w:bCs/>
              </w:rPr>
            </w:pPr>
            <w:r>
              <w:rPr>
                <w:b/>
                <w:bCs/>
              </w:rPr>
              <w:t>Program Zintegrowanej Informatyzacji Państwa</w:t>
            </w:r>
          </w:p>
          <w:p w14:paraId="393B0263" w14:textId="58E2366B" w:rsidR="001C7ABB" w:rsidRDefault="001C7ABB" w:rsidP="001C7ABB">
            <w:pPr>
              <w:pStyle w:val="Other0"/>
              <w:jc w:val="both"/>
            </w:pPr>
            <w:r w:rsidRPr="001D6D4C">
              <w:t xml:space="preserve">Program Zintegrowanej Informatyzacji Państwa, Ministerstwo Administracji i Cyfryzacji, Warszawa wrzesień 2013, W Programie wymieniono kierunki interwencji, w których jako priorytetowe należy traktować projekty z zakresu digitalizacji i udostępniania do ponownego wykorzystania ISP. Projekt wpisuje się także w kierunek działań Otwarty rząd i wspieranie rozwoju społeczeństwa obywatelskiego, w ramach którego działania będą nakierowane na sprawne zarządzanie informacją publiczną, w tym umożliwienie ponownego wykorzystywania publicznych zasobów informacyjnych. Wśród rekomendowanych e-usług </w:t>
            </w:r>
            <w:r>
              <w:t>Program</w:t>
            </w:r>
            <w:r w:rsidRPr="001D6D4C">
              <w:t xml:space="preserve"> wskazuje na usługi dostępu elektronicznego do zasobów kultury i dziedzictwa narodowego.</w:t>
            </w:r>
          </w:p>
          <w:p w14:paraId="794E832E" w14:textId="77777777" w:rsidR="001C7ABB" w:rsidRDefault="001C7ABB" w:rsidP="001C7ABB">
            <w:pPr>
              <w:pStyle w:val="Other0"/>
              <w:jc w:val="both"/>
              <w:rPr>
                <w:b/>
                <w:bCs/>
              </w:rPr>
            </w:pPr>
          </w:p>
          <w:p w14:paraId="6B6537E6" w14:textId="540B7385" w:rsidR="004213CF" w:rsidRDefault="004213CF" w:rsidP="000913B0">
            <w:pPr>
              <w:pStyle w:val="Other0"/>
              <w:numPr>
                <w:ilvl w:val="0"/>
                <w:numId w:val="10"/>
              </w:numPr>
              <w:rPr>
                <w:b/>
                <w:bCs/>
              </w:rPr>
            </w:pPr>
            <w:r>
              <w:rPr>
                <w:b/>
                <w:bCs/>
              </w:rPr>
              <w:t>Krajowa Strategia Rozwoju Regionalnego</w:t>
            </w:r>
          </w:p>
          <w:p w14:paraId="565BA03D" w14:textId="67B05EC8" w:rsidR="001C7ABB" w:rsidRDefault="001C7ABB" w:rsidP="001C7ABB">
            <w:pPr>
              <w:pStyle w:val="Other0"/>
              <w:jc w:val="both"/>
            </w:pPr>
            <w:r w:rsidRPr="001D6D4C">
              <w:t>Krajowa strategia rozwoju regionalnego. Projekt wpisuje się w realizację Celu 1: Wspomaganie wzrostu konkurencyjności regionów, ponieważ będzie zwiększał świadomość społeczną bogactwa zasobu zabytków i ich wartości. Zabytki, cmentarze i groby wojenne, ze względu na swoją dużą wartość tożsamościową i funkcję kreowania wspólnoty, zróżnicowanie regionalne i unikatowość, wynikającą z autentyzmu substancji i formy, a także silne powiązanie z miejscem swojej lokalizacji, należy uznać za endogeniczny czynnik rozwoju regionalnego. Upowszechnianie wiedzy na temat zabytków, grobów i cmentarzy wojennych oraz ich lokalizacji będzie istotnym czynnikiem kreującym przewagę konkurencyjną regionów i wpływać pozytywnie na rozwój.</w:t>
            </w:r>
          </w:p>
          <w:p w14:paraId="743101B5" w14:textId="77777777" w:rsidR="001C7ABB" w:rsidRDefault="001C7ABB" w:rsidP="001C7ABB">
            <w:pPr>
              <w:pStyle w:val="Other0"/>
              <w:jc w:val="both"/>
              <w:rPr>
                <w:b/>
                <w:bCs/>
              </w:rPr>
            </w:pPr>
          </w:p>
          <w:p w14:paraId="30BA6F21" w14:textId="171B81E8" w:rsidR="004213CF" w:rsidRDefault="004213CF" w:rsidP="000913B0">
            <w:pPr>
              <w:pStyle w:val="Other0"/>
              <w:numPr>
                <w:ilvl w:val="0"/>
                <w:numId w:val="10"/>
              </w:numPr>
              <w:rPr>
                <w:b/>
                <w:bCs/>
              </w:rPr>
            </w:pPr>
            <w:r>
              <w:rPr>
                <w:b/>
                <w:bCs/>
              </w:rPr>
              <w:t>Strategia rozwoju kapitału społecznego</w:t>
            </w:r>
          </w:p>
          <w:p w14:paraId="56F2FE29" w14:textId="77777777" w:rsidR="001C7ABB" w:rsidRPr="001C7ABB" w:rsidRDefault="001C7ABB" w:rsidP="001C7ABB">
            <w:pPr>
              <w:jc w:val="both"/>
              <w:rPr>
                <w:sz w:val="18"/>
                <w:szCs w:val="18"/>
              </w:rPr>
            </w:pPr>
            <w:r w:rsidRPr="001C7ABB">
              <w:rPr>
                <w:sz w:val="18"/>
                <w:szCs w:val="18"/>
              </w:rPr>
              <w:t>Strategia rozwoju kapitału społecznego jest podstawowym odniesieniem dla Projektu. Koordynatorem przedmiotowej strategii jest Minister Kultury i Dziedzictwa Narodowego (vide Plan uporz</w:t>
            </w:r>
            <w:r w:rsidRPr="001C7ABB">
              <w:rPr>
                <w:rFonts w:eastAsia="TimesNewRoman"/>
                <w:sz w:val="18"/>
                <w:szCs w:val="18"/>
              </w:rPr>
              <w:t>ą</w:t>
            </w:r>
            <w:r w:rsidRPr="001C7ABB">
              <w:rPr>
                <w:sz w:val="18"/>
                <w:szCs w:val="18"/>
              </w:rPr>
              <w:t xml:space="preserve">dkowania strategii rozwoju). </w:t>
            </w:r>
          </w:p>
          <w:p w14:paraId="430D4D5A" w14:textId="77777777" w:rsidR="001C7ABB" w:rsidRPr="001C7ABB" w:rsidRDefault="001C7ABB" w:rsidP="001C7ABB">
            <w:pPr>
              <w:jc w:val="both"/>
              <w:rPr>
                <w:sz w:val="18"/>
                <w:szCs w:val="18"/>
              </w:rPr>
            </w:pPr>
            <w:r w:rsidRPr="001C7ABB">
              <w:rPr>
                <w:sz w:val="18"/>
                <w:szCs w:val="18"/>
              </w:rPr>
              <w:t>Projekt wpisuje się w realizację 4 celu szczegółowego: Rozwój i efektywne wykorzystanie potencjału kulturowego i kreatywnego oraz Priorytetu 4.1; Wzmocnienie roli kultury w budowaniu spójności społecznej gdyż odpowiada następującym kierunkom działań:</w:t>
            </w:r>
          </w:p>
          <w:p w14:paraId="705D4318" w14:textId="77777777" w:rsidR="001C7ABB" w:rsidRPr="001C7ABB" w:rsidRDefault="001C7ABB" w:rsidP="001C7ABB">
            <w:pPr>
              <w:pStyle w:val="Akapitzlist"/>
              <w:numPr>
                <w:ilvl w:val="0"/>
                <w:numId w:val="14"/>
              </w:numPr>
              <w:autoSpaceDE w:val="0"/>
              <w:autoSpaceDN w:val="0"/>
              <w:adjustRightInd w:val="0"/>
              <w:jc w:val="both"/>
              <w:rPr>
                <w:sz w:val="18"/>
                <w:szCs w:val="18"/>
              </w:rPr>
            </w:pPr>
            <w:r w:rsidRPr="001C7ABB">
              <w:rPr>
                <w:sz w:val="18"/>
                <w:szCs w:val="18"/>
              </w:rPr>
              <w:t>4.1.1 Tworzenie warunków wzmacniania tożsamości i uczestnictwa w kulturze na poziomie lokalnym regionalnym i krajowym: „</w:t>
            </w:r>
            <w:r w:rsidRPr="001C7ABB">
              <w:rPr>
                <w:i/>
                <w:sz w:val="18"/>
                <w:szCs w:val="18"/>
              </w:rPr>
              <w:t>Zadaniem państwa jest tworzenie warunków sprzyjających aktywności obywateli i budowania tożsamości na wszystkich poziomach funkcjonowania wspólnoty (lokalnym, regionalnym, narodowym). W realizacji tego zadania kluczową rolę odgrywają przede wszystkim działania służące: wspieraniu rozwoju zasobów kultury, ułatwieniu dostępu do zasobów kultury.”(s. 61). „Budowa pozytywnie postrzeganej tożsamości regionalnej oraz identyfikacji z otaczającą kulturą istotna jest także z perspektywy jednostek samorządu terytorialnego, pozwala bowiem na rozwijanie relacji społecznych służących współpracy, porozumieniu, kreatywności, a tym samym podnoszeniu jakości życia i konkurencyjności regionu. Do osiągnięcia efektów w wymiarze finansowym przyczynia się także wspieranie turystyki kulturowej i kulturowo‐przyrodniczej oraz łączenie elementów edukacji regionalnej z rozwijającą się agroturystyką.”</w:t>
            </w:r>
            <w:r w:rsidRPr="001C7ABB">
              <w:rPr>
                <w:sz w:val="18"/>
                <w:szCs w:val="18"/>
              </w:rPr>
              <w:t xml:space="preserve"> (s. 62)</w:t>
            </w:r>
          </w:p>
          <w:p w14:paraId="7AE5C5D2" w14:textId="77777777" w:rsidR="001C7ABB" w:rsidRPr="001C7ABB" w:rsidRDefault="001C7ABB" w:rsidP="001C7ABB">
            <w:pPr>
              <w:numPr>
                <w:ilvl w:val="0"/>
                <w:numId w:val="14"/>
              </w:numPr>
              <w:jc w:val="both"/>
              <w:rPr>
                <w:rFonts w:cs="Times New Roman"/>
                <w:sz w:val="18"/>
                <w:szCs w:val="18"/>
              </w:rPr>
            </w:pPr>
            <w:r w:rsidRPr="001C7ABB">
              <w:rPr>
                <w:rFonts w:cs="Times New Roman"/>
                <w:sz w:val="18"/>
                <w:szCs w:val="18"/>
              </w:rPr>
              <w:t>4.1.2. Ochrona dziedzictwa kulturowego i przyrodniczego oraz krajobrazu: „</w:t>
            </w:r>
            <w:r w:rsidRPr="001C7ABB">
              <w:rPr>
                <w:rFonts w:cs="Times New Roman"/>
                <w:i/>
                <w:sz w:val="18"/>
                <w:szCs w:val="18"/>
              </w:rPr>
              <w:t xml:space="preserve">Państwo powinno wspierać i promować działania służące ochronie i zachowaniu dziedzictwa kulturowego realizowane zarówno przez podmioty publiczne, jak i pozarządowe, prywatne oraz osoby prywatne” </w:t>
            </w:r>
            <w:r w:rsidRPr="001C7ABB">
              <w:rPr>
                <w:rFonts w:cs="Times New Roman"/>
                <w:sz w:val="18"/>
                <w:szCs w:val="18"/>
              </w:rPr>
              <w:t xml:space="preserve">(s. 62) oraz zapis </w:t>
            </w:r>
            <w:r w:rsidRPr="001C7ABB">
              <w:rPr>
                <w:rFonts w:cs="Times New Roman"/>
                <w:i/>
                <w:sz w:val="18"/>
                <w:szCs w:val="18"/>
              </w:rPr>
              <w:t xml:space="preserve">„Istotna jest również rola państwa we wzmacnianiu i promowaniu aktywnej partycypacji społecznej w procesie ochrony zabytków i opieki nad nimi. W tym zakresie potrzebna jest współpraca i właściwe wykorzystanie potencjału organizacji </w:t>
            </w:r>
            <w:r w:rsidRPr="001C7ABB">
              <w:rPr>
                <w:rFonts w:cs="Times New Roman"/>
                <w:i/>
                <w:sz w:val="18"/>
                <w:szCs w:val="18"/>
              </w:rPr>
              <w:lastRenderedPageBreak/>
              <w:t>pozarządowych, a także promowanie udziału w ochronie dziedzictwa osób lub przedsiębiorstw. Ochrona dziedzictwa, jako ważnego zasobu kulturowego, wymaga także zintegrowanego podejścia do zagadnienia krajobrazu kulturowego. O skuteczności zachowania dziedzictwa decyduje bowiem dzisiaj nie tylko forma ochrony, ale także funkcja użytkowa zabytkowych obiektów i ich otoczenia. Problematyka ochrony krajobrazu kulturowego obejmującego przyrodę, układy urbanistyczne, zagospodarowanie i sposoby wykorzystania terenu powinna być odpowiednio uwzględniona w zapisach Strategii i planów rozwoju lokalnego i regionalnego, a w szczególności w planach zagospodarowania przestrzennego (…) Konieczne jest w związku z tym usprawnienie i wspieranie współpracy wszystkich podmiotów zaangażowanych w proces planowania przestrzennego na różnych jego etapach.”</w:t>
            </w:r>
            <w:r w:rsidRPr="001C7ABB">
              <w:rPr>
                <w:rFonts w:cs="Times New Roman"/>
                <w:sz w:val="18"/>
                <w:szCs w:val="18"/>
              </w:rPr>
              <w:t xml:space="preserve"> (s.62)</w:t>
            </w:r>
          </w:p>
          <w:p w14:paraId="15534C38" w14:textId="5BE2F3C3" w:rsidR="001C7ABB" w:rsidRPr="001C7ABB" w:rsidRDefault="001C7ABB" w:rsidP="001C7ABB">
            <w:pPr>
              <w:numPr>
                <w:ilvl w:val="0"/>
                <w:numId w:val="14"/>
              </w:numPr>
              <w:jc w:val="both"/>
              <w:rPr>
                <w:rFonts w:cs="Times New Roman"/>
                <w:sz w:val="18"/>
                <w:szCs w:val="18"/>
              </w:rPr>
            </w:pPr>
            <w:r w:rsidRPr="001C7ABB">
              <w:rPr>
                <w:rFonts w:cs="Times New Roman"/>
                <w:sz w:val="18"/>
                <w:szCs w:val="18"/>
              </w:rPr>
              <w:t xml:space="preserve">4.1.3. Digitalizacja, cyfrowa rekonstrukcja i udostępnienie dóbr kultury: </w:t>
            </w:r>
            <w:r w:rsidRPr="001C7ABB">
              <w:rPr>
                <w:rFonts w:cs="Times New Roman"/>
                <w:i/>
                <w:sz w:val="18"/>
                <w:szCs w:val="18"/>
              </w:rPr>
              <w:t>„Podstawowym zadaniem dla współczesnego systemu ochrony i upowszechniania dóbr kultury jest digitalizacja mająca na celu zarówno ochronę dziedzictwa kulturowego przed bezpowrotnym zniknięciem (przez wykonanie kopii lub rekonstrukcji cyfrowych), jak i zapewnienie wszystkim obywatelom równego dostępu do kultury przez upowszechnienie zdigitalizowanych zbiorów (…). Działania, które będą podjęte, to inwentaryzacja, ocena stanu, digitalizacja i cyfrowa rekonstrukcja dorobku polskiej kultury.” (s. 63)</w:t>
            </w:r>
            <w:r w:rsidRPr="001C7ABB">
              <w:rPr>
                <w:rFonts w:cs="Times New Roman"/>
                <w:sz w:val="18"/>
                <w:szCs w:val="18"/>
              </w:rPr>
              <w:t>.</w:t>
            </w:r>
          </w:p>
          <w:p w14:paraId="2CAE5E07" w14:textId="77777777" w:rsidR="001C7ABB" w:rsidRPr="001C7ABB" w:rsidRDefault="001C7ABB" w:rsidP="001C7ABB">
            <w:pPr>
              <w:jc w:val="both"/>
              <w:rPr>
                <w:rFonts w:cs="Times New Roman"/>
                <w:sz w:val="18"/>
                <w:szCs w:val="18"/>
              </w:rPr>
            </w:pPr>
          </w:p>
          <w:p w14:paraId="2255E07A" w14:textId="3859F262" w:rsidR="004213CF" w:rsidRDefault="004213CF" w:rsidP="000913B0">
            <w:pPr>
              <w:pStyle w:val="Other0"/>
              <w:numPr>
                <w:ilvl w:val="0"/>
                <w:numId w:val="10"/>
              </w:numPr>
              <w:rPr>
                <w:b/>
                <w:bCs/>
              </w:rPr>
            </w:pPr>
            <w:r>
              <w:rPr>
                <w:b/>
                <w:bCs/>
              </w:rPr>
              <w:t>Krajowy program ochrony zabytków i opieki nad zabytkami na lata 2014 - 2017</w:t>
            </w:r>
            <w:bookmarkStart w:id="0" w:name="_GoBack"/>
            <w:bookmarkEnd w:id="0"/>
          </w:p>
          <w:p w14:paraId="2861E805" w14:textId="77777777" w:rsidR="001C7ABB" w:rsidRPr="001C7ABB" w:rsidRDefault="001C7ABB" w:rsidP="001C7ABB">
            <w:pPr>
              <w:autoSpaceDE w:val="0"/>
              <w:autoSpaceDN w:val="0"/>
              <w:adjustRightInd w:val="0"/>
              <w:jc w:val="both"/>
              <w:rPr>
                <w:rFonts w:cs="Times New Roman"/>
                <w:sz w:val="18"/>
                <w:szCs w:val="18"/>
              </w:rPr>
            </w:pPr>
            <w:r w:rsidRPr="001C7ABB">
              <w:rPr>
                <w:rFonts w:cs="Times New Roman"/>
                <w:sz w:val="18"/>
                <w:szCs w:val="18"/>
              </w:rPr>
              <w:t xml:space="preserve">Instrumentem wykonawczym dla </w:t>
            </w:r>
            <w:r w:rsidRPr="001C7ABB">
              <w:rPr>
                <w:rFonts w:cs="Times New Roman"/>
                <w:iCs/>
                <w:sz w:val="18"/>
                <w:szCs w:val="18"/>
              </w:rPr>
              <w:t>Strategii Rozwoju Kapitału Społecznego 2020 jest</w:t>
            </w:r>
            <w:r w:rsidRPr="001C7ABB">
              <w:rPr>
                <w:rFonts w:cs="Times New Roman"/>
                <w:sz w:val="18"/>
                <w:szCs w:val="18"/>
              </w:rPr>
              <w:t xml:space="preserve"> Krajowy program ochrony zabytków i opieki nad zabytkami na lata 2014–2017, który stanowi wykonanie upoważnienia ustawowego, zawartego w art. 84 i art. 85 ust. 1 </w:t>
            </w:r>
            <w:r w:rsidRPr="001C7ABB">
              <w:rPr>
                <w:rFonts w:cs="Times New Roman"/>
                <w:iCs/>
                <w:sz w:val="18"/>
                <w:szCs w:val="18"/>
              </w:rPr>
              <w:t>ustawy z dnia 23 lipca 2003 r. o ochronie zabytków i opiece nad zabytkami</w:t>
            </w:r>
            <w:r w:rsidRPr="001C7ABB">
              <w:rPr>
                <w:rFonts w:cs="Times New Roman"/>
                <w:sz w:val="18"/>
                <w:szCs w:val="18"/>
              </w:rPr>
              <w:t>.</w:t>
            </w:r>
          </w:p>
          <w:p w14:paraId="4F0ED97D" w14:textId="77777777" w:rsidR="001C7ABB" w:rsidRPr="001C7ABB" w:rsidRDefault="001C7ABB" w:rsidP="001C7ABB">
            <w:pPr>
              <w:ind w:right="130"/>
              <w:jc w:val="both"/>
              <w:rPr>
                <w:sz w:val="18"/>
                <w:szCs w:val="18"/>
              </w:rPr>
            </w:pPr>
            <w:bookmarkStart w:id="1" w:name="_bookmark43"/>
            <w:bookmarkStart w:id="2" w:name="_bookmark58"/>
            <w:bookmarkEnd w:id="1"/>
            <w:bookmarkEnd w:id="2"/>
            <w:r w:rsidRPr="001C7ABB">
              <w:rPr>
                <w:sz w:val="18"/>
                <w:szCs w:val="18"/>
              </w:rPr>
              <w:t xml:space="preserve">Projekt wpisuje się w realizację następujących celów określonych w Programie: </w:t>
            </w:r>
          </w:p>
          <w:p w14:paraId="07BA69CE" w14:textId="77777777" w:rsidR="001C7ABB" w:rsidRPr="001C7ABB" w:rsidRDefault="001C7ABB" w:rsidP="001C7ABB">
            <w:pPr>
              <w:pStyle w:val="Akapitzlist"/>
              <w:numPr>
                <w:ilvl w:val="0"/>
                <w:numId w:val="15"/>
              </w:numPr>
              <w:ind w:right="130"/>
              <w:jc w:val="both"/>
              <w:rPr>
                <w:sz w:val="18"/>
                <w:szCs w:val="18"/>
              </w:rPr>
            </w:pPr>
            <w:r w:rsidRPr="001C7ABB">
              <w:rPr>
                <w:sz w:val="18"/>
                <w:szCs w:val="18"/>
              </w:rPr>
              <w:t>celu szczegółowego 2: Wzmocnienie synergii działania organów ochrony zabytków, ponieważ odpowiada założeniom kierunku działania 1.</w:t>
            </w:r>
            <w:bookmarkStart w:id="3" w:name="_bookmark60"/>
            <w:bookmarkEnd w:id="3"/>
            <w:r w:rsidRPr="001C7ABB">
              <w:rPr>
                <w:sz w:val="18"/>
                <w:szCs w:val="18"/>
              </w:rPr>
              <w:t xml:space="preserve">Zwiększenie efektywności zarządzania i ochrony zabytków poprzez wdrażanie infrastruktury informacji przestrzennej o zabytkach, wg którego </w:t>
            </w:r>
            <w:r w:rsidRPr="001C7ABB">
              <w:rPr>
                <w:i/>
                <w:sz w:val="18"/>
                <w:szCs w:val="18"/>
              </w:rPr>
              <w:t>„Celem wdrożenia infrastruktury informacji przestrzennej jest zwiększenie efektywności zarządzania   przestrzenią    oraz    wzrost    skuteczności    ochrony    środowiska.    Jednym   z ważniejszych elementów zasobu kulturowego środowiska są zabytki. Uwzględnienie danych o zabytkach w infrastrukturze informacji przestrzennej zapewni narzędzia do ich skuteczniejszej ochrony, da możliwość bardziej efektywnego wykorzystania zasobu zabytkowego dla rozwoju społeczno-ekonomicznego oraz stworzy warunki do bardziej świadomej współpracy różnych środowisk związanych z ochroną zabytków i zarządzaniem przestrzenią.”</w:t>
            </w:r>
            <w:r w:rsidRPr="001C7ABB">
              <w:rPr>
                <w:sz w:val="18"/>
                <w:szCs w:val="18"/>
              </w:rPr>
              <w:t xml:space="preserve"> (s. 59).</w:t>
            </w:r>
          </w:p>
          <w:p w14:paraId="1579ABB3" w14:textId="77777777" w:rsidR="001C7ABB" w:rsidRPr="001C7ABB" w:rsidRDefault="001C7ABB" w:rsidP="001C7ABB">
            <w:pPr>
              <w:pStyle w:val="Akapitzlist"/>
              <w:numPr>
                <w:ilvl w:val="0"/>
                <w:numId w:val="15"/>
              </w:numPr>
              <w:ind w:right="130"/>
              <w:jc w:val="both"/>
              <w:rPr>
                <w:sz w:val="18"/>
                <w:szCs w:val="18"/>
              </w:rPr>
            </w:pPr>
            <w:r w:rsidRPr="001C7ABB">
              <w:rPr>
                <w:sz w:val="18"/>
                <w:szCs w:val="18"/>
              </w:rPr>
              <w:t>celu szczegółowego 2: Wzmocnienie synergii działania organów ochrony zabytków, ponieważ odpowiada założeniom kierunku działania 2.</w:t>
            </w:r>
            <w:bookmarkStart w:id="4" w:name="_bookmark62"/>
            <w:bookmarkEnd w:id="4"/>
            <w:r w:rsidRPr="001C7ABB">
              <w:rPr>
                <w:sz w:val="18"/>
                <w:szCs w:val="18"/>
              </w:rPr>
              <w:t xml:space="preserve"> Wypracowanie standardów, pozwalających na lepszy przepływ informacji pomiędzy organami ochrony zabytków a społecznościami żyjącymi w otoczeniu zabytków objętych ochroną, wg którego </w:t>
            </w:r>
            <w:r w:rsidRPr="001C7ABB">
              <w:rPr>
                <w:i/>
                <w:sz w:val="18"/>
                <w:szCs w:val="18"/>
              </w:rPr>
              <w:t>„W rozwijającym się społeczeństwie obywatelskim, działania służb konserwatorskich powinny być jasno komunikowane i zrozumiałe dla społeczeństwa. Uruchomienie procedur pozwalających   na   lepszy   przepływ   informacji   pomiędzy   służbami   konserwatorskimi   a społecznościami żyjącymi w otoczeniu zabytków objętych ochroną będzie służyć  budowaniu świadomości społecznej wartości zabytków oraz zrozumieniu i akceptacji działań służb konserwatorskich związanych z ochroną zabytków. Istotnym elementem będzie również wypracowanie zasad konsultacji z organizacjami pozarządowymi zaangażowanymi w ochronę zabytków.”</w:t>
            </w:r>
            <w:r w:rsidRPr="001C7ABB">
              <w:rPr>
                <w:sz w:val="18"/>
                <w:szCs w:val="18"/>
              </w:rPr>
              <w:t xml:space="preserve"> (s.59);</w:t>
            </w:r>
          </w:p>
          <w:p w14:paraId="747D6484" w14:textId="77777777" w:rsidR="001C7ABB" w:rsidRDefault="001C7ABB" w:rsidP="001C7ABB">
            <w:pPr>
              <w:pStyle w:val="Akapitzlist"/>
              <w:numPr>
                <w:ilvl w:val="0"/>
                <w:numId w:val="15"/>
              </w:numPr>
              <w:ind w:right="130"/>
              <w:jc w:val="both"/>
              <w:rPr>
                <w:sz w:val="18"/>
                <w:szCs w:val="18"/>
              </w:rPr>
            </w:pPr>
            <w:r w:rsidRPr="001C7ABB">
              <w:rPr>
                <w:sz w:val="18"/>
                <w:szCs w:val="18"/>
              </w:rPr>
              <w:t>celu szczegółowego 2: Wzmocnienie synergii działania organów ochrony zabytków, ponieważ odpowiada założeniom kierunku działania 3</w:t>
            </w:r>
            <w:bookmarkStart w:id="5" w:name="_bookmark64"/>
            <w:bookmarkEnd w:id="5"/>
            <w:r w:rsidRPr="001C7ABB">
              <w:rPr>
                <w:sz w:val="18"/>
                <w:szCs w:val="18"/>
              </w:rPr>
              <w:t xml:space="preserve">. Podniesienie jakości procesów decyzyjnych w organach ochrony </w:t>
            </w:r>
            <w:r w:rsidRPr="001C7ABB">
              <w:rPr>
                <w:sz w:val="18"/>
                <w:szCs w:val="18"/>
              </w:rPr>
              <w:lastRenderedPageBreak/>
              <w:t xml:space="preserve">zabytków, wg którego </w:t>
            </w:r>
            <w:r w:rsidRPr="001C7ABB">
              <w:rPr>
                <w:i/>
                <w:sz w:val="18"/>
                <w:szCs w:val="18"/>
              </w:rPr>
              <w:t xml:space="preserve">„Działalność organów ochrony zabytków w podstawowym zakresie opiera się na wydawaniu decyzji  administracyjnych.  Oparcie  tych  rozstrzygnięć  na  przepisach  zawierających </w:t>
            </w:r>
            <w:r w:rsidRPr="001C7ABB">
              <w:rPr>
                <w:i/>
                <w:spacing w:val="51"/>
                <w:sz w:val="18"/>
                <w:szCs w:val="18"/>
              </w:rPr>
              <w:t xml:space="preserve"> </w:t>
            </w:r>
            <w:r w:rsidRPr="001C7ABB">
              <w:rPr>
                <w:i/>
                <w:sz w:val="18"/>
                <w:szCs w:val="18"/>
              </w:rPr>
              <w:t xml:space="preserve">liczne pojęcia niedookreślone oraz ich wydawanie w ramach uznania administracyjnego stanowi poważne wyzwanie dla  prawidłowości  przeprowadzanych  postępowań  administracyjnych. W związku z tym niezbędne jest ciągłe doskonalenie kompetencji pracowników organów ochrony zabytków w zakresie prawa ochrony zabytków, stosowania procedur administracyjnych, przepisów karnych i egzekucyjnych, a także wytycznych GKZ.” </w:t>
            </w:r>
            <w:r w:rsidRPr="001C7ABB">
              <w:rPr>
                <w:sz w:val="18"/>
                <w:szCs w:val="18"/>
              </w:rPr>
              <w:t>(s. 60);</w:t>
            </w:r>
          </w:p>
          <w:p w14:paraId="6DB46A26" w14:textId="647EEE00" w:rsidR="001C7ABB" w:rsidRPr="001C7ABB" w:rsidRDefault="001C7ABB" w:rsidP="001C7ABB">
            <w:pPr>
              <w:pStyle w:val="Akapitzlist"/>
              <w:numPr>
                <w:ilvl w:val="0"/>
                <w:numId w:val="15"/>
              </w:numPr>
              <w:ind w:right="130"/>
              <w:jc w:val="both"/>
              <w:rPr>
                <w:sz w:val="18"/>
                <w:szCs w:val="18"/>
              </w:rPr>
            </w:pPr>
            <w:r w:rsidRPr="001C7ABB">
              <w:rPr>
                <w:sz w:val="18"/>
                <w:szCs w:val="18"/>
              </w:rPr>
              <w:t>celu szczegółowego 3: Tworzenie warunków do aktywnego uczestnictwa w kulturze, edukacji na rzecz dziedzictwa kulturowego oraz jego promocji i reinterpretacji, ponieważ odpowiada założeniom kierunku działania 3</w:t>
            </w:r>
            <w:bookmarkStart w:id="6" w:name="_bookmark73"/>
            <w:bookmarkEnd w:id="6"/>
            <w:r w:rsidRPr="001C7ABB">
              <w:rPr>
                <w:sz w:val="18"/>
                <w:szCs w:val="18"/>
              </w:rPr>
              <w:t xml:space="preserve">: </w:t>
            </w:r>
            <w:r w:rsidRPr="001C7ABB">
              <w:rPr>
                <w:i/>
                <w:sz w:val="18"/>
                <w:szCs w:val="18"/>
              </w:rPr>
              <w:t xml:space="preserve">„Promocja zasobu dziedzictwa za pośrednictwem Internetu, wg którego „Dziedzictwo kulturowe odgrywa bardzo ważną rolę społeczną – kształtuje tożsamości narodową i lokalnych „małych ojczyzn”, buduje poczucie wspólnoty, rozwija  kapitał społeczny. Warunkiem pozytywnego wpływu dziedzictwa na rozwój społeczny jest prawidłowe rozpoznanie zasobu dziedzictwa przez społeczności lokalne. Jednym z działań zwiększających społeczny dostęp do zasobów dziedzictwa jest digitalizacja i publikowanie cyfrowych nośników treści zaliczających się do dziedzictwa kulturowego. W przypadku zabytków nośnikiem wartości społecznych jest nie tylko forma, ale także autentyczna substancja składająca się na zabytek, jego kontekst historyczny oraz walory krajobrazowe położenia obiektu in situ. W związku z powyższym digitalizacja zabytków nie może być rozumiana jako wytwarzanie cyfrowego substytutu oryginalnego obiektu. Celem digitalizacji zabytków jest promocja ich wartości oraz zachęcenie wszystkich zainteresowanych do odwiedzenia i poznania zabytku w jego autentycznej formie i pierwotnym </w:t>
            </w:r>
            <w:bookmarkStart w:id="7" w:name="_bookmark67"/>
            <w:bookmarkEnd w:id="7"/>
            <w:r w:rsidRPr="001C7ABB">
              <w:rPr>
                <w:i/>
                <w:sz w:val="18"/>
                <w:szCs w:val="18"/>
              </w:rPr>
              <w:t>kontekście krajobrazowym.”</w:t>
            </w:r>
            <w:r w:rsidRPr="001C7ABB">
              <w:rPr>
                <w:sz w:val="18"/>
                <w:szCs w:val="18"/>
              </w:rPr>
              <w:t xml:space="preserve"> (s. 62).</w:t>
            </w:r>
          </w:p>
          <w:p w14:paraId="086089A8" w14:textId="77777777" w:rsidR="003C4929" w:rsidRDefault="003C4929" w:rsidP="005A4344">
            <w:pPr>
              <w:jc w:val="both"/>
              <w:rPr>
                <w:rFonts w:cstheme="minorHAnsi"/>
                <w:i/>
                <w:sz w:val="18"/>
                <w:szCs w:val="18"/>
              </w:rPr>
            </w:pPr>
          </w:p>
          <w:p w14:paraId="25FE8E49" w14:textId="77777777" w:rsidR="003C4929" w:rsidRDefault="003C4929" w:rsidP="003C4929">
            <w:pPr>
              <w:pStyle w:val="Other0"/>
              <w:rPr>
                <w:b/>
                <w:bCs/>
              </w:rPr>
            </w:pPr>
            <w:r>
              <w:rPr>
                <w:b/>
                <w:bCs/>
              </w:rPr>
              <w:t>W ramach projektu osiągnięto następujące wskaźniki:</w:t>
            </w:r>
          </w:p>
          <w:p w14:paraId="7A8DAD5F" w14:textId="77777777" w:rsidR="003C4929" w:rsidRDefault="003C4929" w:rsidP="005A4344">
            <w:pPr>
              <w:jc w:val="both"/>
              <w:rPr>
                <w:rFonts w:cstheme="minorHAnsi"/>
                <w:i/>
                <w:sz w:val="18"/>
                <w:szCs w:val="18"/>
              </w:rPr>
            </w:pPr>
          </w:p>
          <w:p w14:paraId="1AC1F0CD" w14:textId="38A0788D" w:rsidR="00963662" w:rsidRPr="00754228" w:rsidRDefault="00963662" w:rsidP="005A4344">
            <w:pPr>
              <w:jc w:val="both"/>
              <w:rPr>
                <w:rFonts w:cstheme="minorHAnsi"/>
                <w:i/>
                <w:sz w:val="18"/>
                <w:szCs w:val="18"/>
              </w:rPr>
            </w:pPr>
            <w:r w:rsidRPr="00754228">
              <w:rPr>
                <w:rFonts w:cstheme="minorHAnsi"/>
                <w:i/>
                <w:sz w:val="18"/>
                <w:szCs w:val="18"/>
              </w:rPr>
              <w:t>Wskaźniki produktu:</w:t>
            </w:r>
          </w:p>
          <w:p w14:paraId="7F3D7CE1" w14:textId="74ECC4C3" w:rsidR="00963662" w:rsidRPr="00754228" w:rsidRDefault="00963662" w:rsidP="005A4344">
            <w:pPr>
              <w:jc w:val="both"/>
              <w:rPr>
                <w:rFonts w:cstheme="minorHAnsi"/>
                <w:i/>
                <w:sz w:val="18"/>
                <w:szCs w:val="18"/>
              </w:rPr>
            </w:pPr>
          </w:p>
          <w:p w14:paraId="3A4564F3" w14:textId="1848396D" w:rsidR="00963662" w:rsidRPr="00754228" w:rsidRDefault="00963662" w:rsidP="005A4344">
            <w:pPr>
              <w:jc w:val="both"/>
              <w:rPr>
                <w:rFonts w:cstheme="minorHAnsi"/>
                <w:sz w:val="18"/>
                <w:szCs w:val="18"/>
                <w:lang w:eastAsia="pl-PL"/>
              </w:rPr>
            </w:pPr>
            <w:r w:rsidRPr="00754228">
              <w:rPr>
                <w:rFonts w:cstheme="minorHAnsi"/>
                <w:i/>
                <w:sz w:val="18"/>
                <w:szCs w:val="18"/>
              </w:rPr>
              <w:t xml:space="preserve">1. </w:t>
            </w:r>
            <w:r w:rsidRPr="00754228">
              <w:rPr>
                <w:rFonts w:cstheme="minorHAnsi"/>
                <w:sz w:val="18"/>
                <w:szCs w:val="18"/>
                <w:lang w:eastAsia="pl-PL"/>
              </w:rPr>
              <w:t>Liczba baz danych udostępnionych on-line poprzez API</w:t>
            </w:r>
          </w:p>
          <w:p w14:paraId="25CFC9C4" w14:textId="03B9D4D9" w:rsidR="00963662" w:rsidRPr="00754228" w:rsidRDefault="00963662" w:rsidP="005A4344">
            <w:pPr>
              <w:jc w:val="both"/>
              <w:rPr>
                <w:rFonts w:cstheme="minorHAnsi"/>
                <w:sz w:val="18"/>
                <w:szCs w:val="18"/>
                <w:lang w:eastAsia="pl-PL"/>
              </w:rPr>
            </w:pPr>
            <w:r w:rsidRPr="00754228">
              <w:rPr>
                <w:rFonts w:cstheme="minorHAnsi"/>
                <w:sz w:val="18"/>
                <w:szCs w:val="18"/>
                <w:lang w:eastAsia="pl-PL"/>
              </w:rPr>
              <w:t xml:space="preserve">Wartość zakładania: </w:t>
            </w:r>
            <w:r w:rsidR="001C7ABB">
              <w:rPr>
                <w:rFonts w:cstheme="minorHAnsi"/>
                <w:sz w:val="18"/>
                <w:szCs w:val="18"/>
                <w:lang w:eastAsia="pl-PL"/>
              </w:rPr>
              <w:t>3</w:t>
            </w:r>
          </w:p>
          <w:p w14:paraId="55B554C7" w14:textId="7A1961B0" w:rsidR="00963662" w:rsidRPr="00754228" w:rsidRDefault="00963662" w:rsidP="005A4344">
            <w:pPr>
              <w:jc w:val="both"/>
              <w:rPr>
                <w:rFonts w:cstheme="minorHAnsi"/>
                <w:sz w:val="18"/>
                <w:szCs w:val="18"/>
                <w:lang w:eastAsia="pl-PL"/>
              </w:rPr>
            </w:pPr>
            <w:r w:rsidRPr="00754228">
              <w:rPr>
                <w:rFonts w:cstheme="minorHAnsi"/>
                <w:sz w:val="18"/>
                <w:szCs w:val="18"/>
                <w:lang w:eastAsia="pl-PL"/>
              </w:rPr>
              <w:t xml:space="preserve">Wartość osiągnięta: </w:t>
            </w:r>
            <w:r w:rsidR="001C7ABB">
              <w:rPr>
                <w:rFonts w:cstheme="minorHAnsi"/>
                <w:sz w:val="18"/>
                <w:szCs w:val="18"/>
                <w:lang w:eastAsia="pl-PL"/>
              </w:rPr>
              <w:t>3</w:t>
            </w:r>
          </w:p>
          <w:p w14:paraId="3BF620D4" w14:textId="6C56320A" w:rsidR="00963662" w:rsidRPr="00754228" w:rsidRDefault="00963662" w:rsidP="005A4344">
            <w:pPr>
              <w:jc w:val="both"/>
              <w:rPr>
                <w:rFonts w:cstheme="minorHAnsi"/>
                <w:sz w:val="18"/>
                <w:szCs w:val="18"/>
                <w:lang w:eastAsia="pl-PL"/>
              </w:rPr>
            </w:pPr>
          </w:p>
          <w:p w14:paraId="41CA9F58" w14:textId="434F4294" w:rsidR="00963662" w:rsidRPr="00754228" w:rsidRDefault="00963662" w:rsidP="005A4344">
            <w:pPr>
              <w:jc w:val="both"/>
              <w:rPr>
                <w:rFonts w:cstheme="minorHAnsi"/>
                <w:sz w:val="18"/>
                <w:szCs w:val="18"/>
                <w:lang w:eastAsia="pl-PL"/>
              </w:rPr>
            </w:pPr>
            <w:r w:rsidRPr="00754228">
              <w:rPr>
                <w:rFonts w:cstheme="minorHAnsi"/>
                <w:sz w:val="18"/>
                <w:szCs w:val="18"/>
                <w:lang w:eastAsia="pl-PL"/>
              </w:rPr>
              <w:t>2. Liczba podmiotów, które udostępniły on-line informacje sektora publicznego</w:t>
            </w:r>
          </w:p>
          <w:p w14:paraId="52BA0FEA" w14:textId="50F49FD7" w:rsidR="00963662" w:rsidRPr="00754228" w:rsidRDefault="00963662" w:rsidP="005A4344">
            <w:pPr>
              <w:jc w:val="both"/>
              <w:rPr>
                <w:rFonts w:cstheme="minorHAnsi"/>
                <w:sz w:val="18"/>
                <w:szCs w:val="18"/>
                <w:lang w:eastAsia="pl-PL"/>
              </w:rPr>
            </w:pPr>
            <w:r w:rsidRPr="00754228">
              <w:rPr>
                <w:rFonts w:cstheme="minorHAnsi"/>
                <w:sz w:val="18"/>
                <w:szCs w:val="18"/>
                <w:lang w:eastAsia="pl-PL"/>
              </w:rPr>
              <w:t>Wartość zakładania: 1</w:t>
            </w:r>
          </w:p>
          <w:p w14:paraId="53A4DDB6" w14:textId="3E06E280" w:rsidR="00963662" w:rsidRPr="00754228" w:rsidRDefault="00963662" w:rsidP="005A4344">
            <w:pPr>
              <w:jc w:val="both"/>
              <w:rPr>
                <w:rFonts w:cstheme="minorHAnsi"/>
                <w:sz w:val="18"/>
                <w:szCs w:val="18"/>
                <w:lang w:eastAsia="pl-PL"/>
              </w:rPr>
            </w:pPr>
            <w:r w:rsidRPr="00754228">
              <w:rPr>
                <w:rFonts w:cstheme="minorHAnsi"/>
                <w:sz w:val="18"/>
                <w:szCs w:val="18"/>
                <w:lang w:eastAsia="pl-PL"/>
              </w:rPr>
              <w:t>Wartość osiągnięta: 1</w:t>
            </w:r>
          </w:p>
          <w:p w14:paraId="7CFF26E6" w14:textId="5B9A48B2" w:rsidR="00963662" w:rsidRPr="00754228" w:rsidRDefault="00963662" w:rsidP="005A4344">
            <w:pPr>
              <w:jc w:val="both"/>
              <w:rPr>
                <w:rFonts w:cstheme="minorHAnsi"/>
                <w:i/>
                <w:sz w:val="18"/>
                <w:szCs w:val="18"/>
              </w:rPr>
            </w:pPr>
          </w:p>
          <w:p w14:paraId="48E3B04D" w14:textId="62C805B0" w:rsidR="00963662" w:rsidRPr="00754228" w:rsidRDefault="00963662" w:rsidP="005A4344">
            <w:pPr>
              <w:jc w:val="both"/>
              <w:rPr>
                <w:rFonts w:cstheme="minorHAnsi"/>
                <w:sz w:val="18"/>
                <w:szCs w:val="18"/>
                <w:lang w:eastAsia="pl-PL"/>
              </w:rPr>
            </w:pPr>
            <w:r w:rsidRPr="00754228">
              <w:rPr>
                <w:rFonts w:cstheme="minorHAnsi"/>
                <w:i/>
                <w:sz w:val="18"/>
                <w:szCs w:val="18"/>
              </w:rPr>
              <w:t xml:space="preserve">3. </w:t>
            </w:r>
            <w:r w:rsidRPr="00754228">
              <w:rPr>
                <w:rFonts w:cstheme="minorHAnsi"/>
                <w:sz w:val="18"/>
                <w:szCs w:val="18"/>
                <w:lang w:eastAsia="pl-PL"/>
              </w:rPr>
              <w:t>Liczba udostępnionych on-line dokumentów zawierających informacje sektora publicznego</w:t>
            </w:r>
          </w:p>
          <w:p w14:paraId="17D868C0" w14:textId="398B02EB" w:rsidR="00963662" w:rsidRPr="00754228" w:rsidRDefault="00963662" w:rsidP="005A4344">
            <w:pPr>
              <w:jc w:val="both"/>
              <w:rPr>
                <w:rFonts w:cstheme="minorHAnsi"/>
                <w:sz w:val="18"/>
                <w:szCs w:val="18"/>
                <w:lang w:eastAsia="pl-PL"/>
              </w:rPr>
            </w:pPr>
            <w:r w:rsidRPr="00754228">
              <w:rPr>
                <w:rFonts w:cstheme="minorHAnsi"/>
                <w:sz w:val="18"/>
                <w:szCs w:val="18"/>
                <w:lang w:eastAsia="pl-PL"/>
              </w:rPr>
              <w:t>Wartość zakładana: 1 308 409</w:t>
            </w:r>
          </w:p>
          <w:p w14:paraId="0C3BA307" w14:textId="0E3AA3BF" w:rsidR="00963662" w:rsidRPr="00754228" w:rsidRDefault="00963662" w:rsidP="005A4344">
            <w:pPr>
              <w:jc w:val="both"/>
              <w:rPr>
                <w:rFonts w:cstheme="minorHAnsi"/>
                <w:sz w:val="18"/>
                <w:szCs w:val="18"/>
                <w:lang w:eastAsia="pl-PL"/>
              </w:rPr>
            </w:pPr>
            <w:r w:rsidRPr="00754228">
              <w:rPr>
                <w:rFonts w:cstheme="minorHAnsi"/>
                <w:sz w:val="18"/>
                <w:szCs w:val="18"/>
                <w:lang w:eastAsia="pl-PL"/>
              </w:rPr>
              <w:t>Wartość osiągnięta: 1 365 999</w:t>
            </w:r>
          </w:p>
          <w:p w14:paraId="5CF30B63" w14:textId="7AA8970C" w:rsidR="00963662" w:rsidRPr="00754228" w:rsidRDefault="00963662" w:rsidP="005A4344">
            <w:pPr>
              <w:jc w:val="both"/>
              <w:rPr>
                <w:rFonts w:cstheme="minorHAnsi"/>
                <w:sz w:val="18"/>
                <w:szCs w:val="18"/>
                <w:lang w:eastAsia="pl-PL"/>
              </w:rPr>
            </w:pPr>
          </w:p>
          <w:p w14:paraId="30B79E32" w14:textId="1FF1116E" w:rsidR="00963662" w:rsidRPr="00754228" w:rsidRDefault="00963662" w:rsidP="005A4344">
            <w:pPr>
              <w:jc w:val="both"/>
              <w:rPr>
                <w:rFonts w:cstheme="minorHAnsi"/>
                <w:sz w:val="18"/>
                <w:szCs w:val="18"/>
                <w:lang w:eastAsia="pl-PL"/>
              </w:rPr>
            </w:pPr>
            <w:r w:rsidRPr="00754228">
              <w:rPr>
                <w:rFonts w:cstheme="minorHAnsi"/>
                <w:sz w:val="18"/>
                <w:szCs w:val="18"/>
                <w:lang w:eastAsia="pl-PL"/>
              </w:rPr>
              <w:t>4. Liczba utworzonych API</w:t>
            </w:r>
          </w:p>
          <w:p w14:paraId="7E3662F4" w14:textId="72D32E55" w:rsidR="00963662" w:rsidRPr="00754228" w:rsidRDefault="00963662" w:rsidP="005A4344">
            <w:pPr>
              <w:jc w:val="both"/>
              <w:rPr>
                <w:rFonts w:cstheme="minorHAnsi"/>
                <w:sz w:val="18"/>
                <w:szCs w:val="18"/>
                <w:lang w:eastAsia="pl-PL"/>
              </w:rPr>
            </w:pPr>
            <w:r w:rsidRPr="00754228">
              <w:rPr>
                <w:rFonts w:cstheme="minorHAnsi"/>
                <w:sz w:val="18"/>
                <w:szCs w:val="18"/>
                <w:lang w:eastAsia="pl-PL"/>
              </w:rPr>
              <w:t>Wartość zakładania: 1</w:t>
            </w:r>
          </w:p>
          <w:p w14:paraId="2AA57375" w14:textId="0D5D8364" w:rsidR="00963662" w:rsidRPr="00754228" w:rsidRDefault="00963662" w:rsidP="005A4344">
            <w:pPr>
              <w:jc w:val="both"/>
              <w:rPr>
                <w:rFonts w:cstheme="minorHAnsi"/>
                <w:sz w:val="18"/>
                <w:szCs w:val="18"/>
                <w:lang w:eastAsia="pl-PL"/>
              </w:rPr>
            </w:pPr>
            <w:r w:rsidRPr="00754228">
              <w:rPr>
                <w:rFonts w:cstheme="minorHAnsi"/>
                <w:sz w:val="18"/>
                <w:szCs w:val="18"/>
                <w:lang w:eastAsia="pl-PL"/>
              </w:rPr>
              <w:t>Wartość osiągnięta: 1</w:t>
            </w:r>
          </w:p>
          <w:p w14:paraId="57863FD6" w14:textId="544BCA89" w:rsidR="00963662" w:rsidRPr="00754228" w:rsidRDefault="00963662" w:rsidP="005A4344">
            <w:pPr>
              <w:jc w:val="both"/>
              <w:rPr>
                <w:rFonts w:cstheme="minorHAnsi"/>
                <w:sz w:val="18"/>
                <w:szCs w:val="18"/>
                <w:lang w:eastAsia="pl-PL"/>
              </w:rPr>
            </w:pPr>
          </w:p>
          <w:p w14:paraId="7AA5C2C8" w14:textId="7AD66FF6" w:rsidR="00963662" w:rsidRPr="00754228" w:rsidRDefault="00963662" w:rsidP="005A4344">
            <w:pPr>
              <w:jc w:val="both"/>
              <w:rPr>
                <w:rFonts w:cstheme="minorHAnsi"/>
                <w:sz w:val="18"/>
                <w:szCs w:val="18"/>
                <w:lang w:eastAsia="pl-PL"/>
              </w:rPr>
            </w:pPr>
            <w:r w:rsidRPr="00754228">
              <w:rPr>
                <w:rFonts w:cstheme="minorHAnsi"/>
                <w:sz w:val="18"/>
                <w:szCs w:val="18"/>
                <w:lang w:eastAsia="pl-PL"/>
              </w:rPr>
              <w:t>5. Liczba zdigitalizowanych dokumentów zawierających informacje sektora publicznego</w:t>
            </w:r>
          </w:p>
          <w:p w14:paraId="2983555C" w14:textId="77777777" w:rsidR="00963662" w:rsidRPr="00754228" w:rsidRDefault="00963662" w:rsidP="00963662">
            <w:pPr>
              <w:jc w:val="both"/>
              <w:rPr>
                <w:rFonts w:cstheme="minorHAnsi"/>
                <w:sz w:val="18"/>
                <w:szCs w:val="18"/>
                <w:lang w:eastAsia="pl-PL"/>
              </w:rPr>
            </w:pPr>
            <w:r w:rsidRPr="00754228">
              <w:rPr>
                <w:rFonts w:cstheme="minorHAnsi"/>
                <w:sz w:val="18"/>
                <w:szCs w:val="18"/>
                <w:lang w:eastAsia="pl-PL"/>
              </w:rPr>
              <w:t>Wartość zakładana: 1 308 409</w:t>
            </w:r>
          </w:p>
          <w:p w14:paraId="2E6E75BA" w14:textId="5529C4D3" w:rsidR="00963662" w:rsidRPr="00754228" w:rsidRDefault="00963662" w:rsidP="00963662">
            <w:pPr>
              <w:jc w:val="both"/>
              <w:rPr>
                <w:rFonts w:cstheme="minorHAnsi"/>
                <w:sz w:val="18"/>
                <w:szCs w:val="18"/>
                <w:lang w:eastAsia="pl-PL"/>
              </w:rPr>
            </w:pPr>
            <w:r w:rsidRPr="00754228">
              <w:rPr>
                <w:rFonts w:cstheme="minorHAnsi"/>
                <w:sz w:val="18"/>
                <w:szCs w:val="18"/>
                <w:lang w:eastAsia="pl-PL"/>
              </w:rPr>
              <w:t>Wartość osiągnięta: 1 365 999</w:t>
            </w:r>
          </w:p>
          <w:p w14:paraId="0F92306C" w14:textId="3E70A8D2" w:rsidR="00963662" w:rsidRPr="00754228" w:rsidRDefault="00963662" w:rsidP="005A4344">
            <w:pPr>
              <w:jc w:val="both"/>
              <w:rPr>
                <w:rFonts w:cstheme="minorHAnsi"/>
                <w:sz w:val="18"/>
                <w:szCs w:val="18"/>
                <w:lang w:eastAsia="pl-PL"/>
              </w:rPr>
            </w:pPr>
          </w:p>
          <w:p w14:paraId="030955C9" w14:textId="5CEBFD26" w:rsidR="00963662" w:rsidRPr="00754228" w:rsidRDefault="00963662" w:rsidP="005A4344">
            <w:pPr>
              <w:jc w:val="both"/>
              <w:rPr>
                <w:rFonts w:cstheme="minorHAnsi"/>
                <w:sz w:val="18"/>
                <w:szCs w:val="18"/>
                <w:lang w:eastAsia="pl-PL"/>
              </w:rPr>
            </w:pPr>
            <w:r w:rsidRPr="00754228">
              <w:rPr>
                <w:rFonts w:cstheme="minorHAnsi"/>
                <w:sz w:val="18"/>
                <w:szCs w:val="18"/>
                <w:lang w:eastAsia="pl-PL"/>
              </w:rPr>
              <w:t>6. Rozmiar udostępnionych on-line informacji sektora publicznego</w:t>
            </w:r>
          </w:p>
          <w:p w14:paraId="645B8A5F" w14:textId="1E67F758" w:rsidR="00963662" w:rsidRPr="00754228" w:rsidRDefault="00963662" w:rsidP="005A4344">
            <w:pPr>
              <w:jc w:val="both"/>
              <w:rPr>
                <w:rFonts w:cstheme="minorHAnsi"/>
                <w:sz w:val="18"/>
                <w:szCs w:val="18"/>
                <w:lang w:eastAsia="pl-PL"/>
              </w:rPr>
            </w:pPr>
            <w:r w:rsidRPr="00754228">
              <w:rPr>
                <w:rFonts w:cstheme="minorHAnsi"/>
                <w:sz w:val="18"/>
                <w:szCs w:val="18"/>
                <w:lang w:eastAsia="pl-PL"/>
              </w:rPr>
              <w:t>Wartość zakładana: 150 TB</w:t>
            </w:r>
          </w:p>
          <w:p w14:paraId="1588A0C5" w14:textId="150DE38B" w:rsidR="00963662" w:rsidRPr="00754228" w:rsidRDefault="00963662" w:rsidP="005A4344">
            <w:pPr>
              <w:jc w:val="both"/>
              <w:rPr>
                <w:rFonts w:cstheme="minorHAnsi"/>
                <w:sz w:val="18"/>
                <w:szCs w:val="18"/>
                <w:lang w:eastAsia="pl-PL"/>
              </w:rPr>
            </w:pPr>
            <w:r w:rsidRPr="00754228">
              <w:rPr>
                <w:rFonts w:cstheme="minorHAnsi"/>
                <w:sz w:val="18"/>
                <w:szCs w:val="18"/>
                <w:lang w:eastAsia="pl-PL"/>
              </w:rPr>
              <w:t>Wartość osiągnięta: 10,993 TB</w:t>
            </w:r>
          </w:p>
          <w:p w14:paraId="2B719F51" w14:textId="1A1F2176" w:rsidR="00963662" w:rsidRPr="00754228" w:rsidRDefault="00963662" w:rsidP="005A4344">
            <w:pPr>
              <w:jc w:val="both"/>
              <w:rPr>
                <w:rFonts w:cstheme="minorHAnsi"/>
                <w:sz w:val="18"/>
                <w:szCs w:val="18"/>
                <w:lang w:eastAsia="pl-PL"/>
              </w:rPr>
            </w:pPr>
            <w:r w:rsidRPr="00754228">
              <w:rPr>
                <w:rFonts w:cstheme="minorHAnsi"/>
                <w:sz w:val="18"/>
                <w:szCs w:val="18"/>
                <w:lang w:eastAsia="pl-PL"/>
              </w:rPr>
              <w:t>Przyczyny nieosiągnięcia zakładanej wartości:</w:t>
            </w:r>
          </w:p>
          <w:p w14:paraId="36565A5C" w14:textId="0F619847" w:rsidR="00963662" w:rsidRPr="00754228" w:rsidRDefault="00963662" w:rsidP="005A4344">
            <w:pPr>
              <w:jc w:val="both"/>
              <w:rPr>
                <w:rFonts w:cstheme="minorHAnsi"/>
                <w:sz w:val="18"/>
                <w:szCs w:val="18"/>
              </w:rPr>
            </w:pPr>
            <w:r w:rsidRPr="00754228">
              <w:rPr>
                <w:rFonts w:cstheme="minorHAnsi"/>
                <w:sz w:val="18"/>
                <w:szCs w:val="18"/>
              </w:rPr>
              <w:t xml:space="preserve">Do publicznej prezentacji danych udostępnianych na portalach w związku z realizacją projektu przeznaczone są finalne wersje produktów digitalizacji. Jednakże </w:t>
            </w:r>
            <w:r w:rsidRPr="00754228">
              <w:rPr>
                <w:rFonts w:cstheme="minorHAnsi"/>
                <w:sz w:val="18"/>
                <w:szCs w:val="18"/>
              </w:rPr>
              <w:lastRenderedPageBreak/>
              <w:t>do wytworzenia tychże wersji w ramach procesu powstaje szereg plików/danych nieprzydatnych dla końcowego odbiorcy, lecz niezbędnych do właściwego przygotowania ostatecznego produktu. Wszystkie te dane są zarchiwizowane w Zintegrowanym Systemie Backupu i Archiwizacji (ZSBiA) – w tym także wytworzono kopię zapasową dla celów należytego zabezpieczenia. Udostępnione dane dotyczą kompletnego zasobu poddanego digitalizacji w ramach projektu.</w:t>
            </w:r>
          </w:p>
          <w:p w14:paraId="2E1B93EA" w14:textId="730653B8" w:rsidR="00963662" w:rsidRPr="00754228" w:rsidRDefault="00963662" w:rsidP="005A4344">
            <w:pPr>
              <w:jc w:val="both"/>
              <w:rPr>
                <w:rFonts w:cstheme="minorHAnsi"/>
                <w:sz w:val="18"/>
                <w:szCs w:val="18"/>
              </w:rPr>
            </w:pPr>
          </w:p>
          <w:p w14:paraId="54C6A045" w14:textId="34AEAACA" w:rsidR="00963662" w:rsidRPr="00754228" w:rsidRDefault="00963662" w:rsidP="00963662">
            <w:pPr>
              <w:jc w:val="both"/>
              <w:rPr>
                <w:rFonts w:cstheme="minorHAnsi"/>
                <w:color w:val="000000"/>
                <w:sz w:val="18"/>
                <w:szCs w:val="18"/>
                <w:lang w:eastAsia="pl-PL"/>
              </w:rPr>
            </w:pPr>
            <w:r w:rsidRPr="00754228">
              <w:rPr>
                <w:rFonts w:cstheme="minorHAnsi"/>
                <w:sz w:val="18"/>
                <w:szCs w:val="18"/>
                <w:lang w:eastAsia="pl-PL"/>
              </w:rPr>
              <w:t xml:space="preserve">7. </w:t>
            </w:r>
            <w:r w:rsidRPr="00754228">
              <w:rPr>
                <w:rFonts w:cstheme="minorHAnsi"/>
                <w:color w:val="000000"/>
                <w:sz w:val="18"/>
                <w:szCs w:val="18"/>
                <w:lang w:eastAsia="pl-PL"/>
              </w:rPr>
              <w:t>Rozmiar zdigitalizowanej informacji sektora publicznego</w:t>
            </w:r>
          </w:p>
          <w:p w14:paraId="2BDAE1F9" w14:textId="24BDBF0D" w:rsidR="00963662" w:rsidRPr="00754228" w:rsidRDefault="00963662" w:rsidP="00963662">
            <w:pPr>
              <w:jc w:val="both"/>
              <w:rPr>
                <w:rFonts w:cstheme="minorHAnsi"/>
                <w:color w:val="000000"/>
                <w:sz w:val="18"/>
                <w:szCs w:val="18"/>
                <w:lang w:eastAsia="pl-PL"/>
              </w:rPr>
            </w:pPr>
            <w:r w:rsidRPr="00754228">
              <w:rPr>
                <w:rFonts w:cstheme="minorHAnsi"/>
                <w:color w:val="000000"/>
                <w:sz w:val="18"/>
                <w:szCs w:val="18"/>
                <w:lang w:eastAsia="pl-PL"/>
              </w:rPr>
              <w:t>Wartość zakładana: 150 TB</w:t>
            </w:r>
          </w:p>
          <w:p w14:paraId="1E5721C7" w14:textId="281F55C3" w:rsidR="00963662" w:rsidRPr="00754228" w:rsidRDefault="00963662" w:rsidP="00963662">
            <w:pPr>
              <w:jc w:val="both"/>
              <w:rPr>
                <w:rFonts w:cstheme="minorHAnsi"/>
                <w:color w:val="000000"/>
                <w:sz w:val="18"/>
                <w:szCs w:val="18"/>
                <w:lang w:eastAsia="pl-PL"/>
              </w:rPr>
            </w:pPr>
            <w:r w:rsidRPr="00754228">
              <w:rPr>
                <w:rFonts w:cstheme="minorHAnsi"/>
                <w:color w:val="000000"/>
                <w:sz w:val="18"/>
                <w:szCs w:val="18"/>
                <w:lang w:eastAsia="pl-PL"/>
              </w:rPr>
              <w:t>Wartość osiągnięta: 61,87 TB</w:t>
            </w:r>
          </w:p>
          <w:p w14:paraId="5529DD33" w14:textId="0ED01680" w:rsidR="00963662" w:rsidRPr="00754228" w:rsidRDefault="00963662" w:rsidP="00963662">
            <w:pPr>
              <w:jc w:val="both"/>
              <w:rPr>
                <w:rFonts w:cstheme="minorHAnsi"/>
                <w:color w:val="000000"/>
                <w:sz w:val="18"/>
                <w:szCs w:val="18"/>
                <w:lang w:eastAsia="pl-PL"/>
              </w:rPr>
            </w:pPr>
            <w:r w:rsidRPr="00754228">
              <w:rPr>
                <w:rFonts w:cstheme="minorHAnsi"/>
                <w:color w:val="000000"/>
                <w:sz w:val="18"/>
                <w:szCs w:val="18"/>
                <w:lang w:eastAsia="pl-PL"/>
              </w:rPr>
              <w:t>Przyczyny nieosiągnięcia zakładanej wartości:</w:t>
            </w:r>
          </w:p>
          <w:p w14:paraId="5FFBD69C" w14:textId="33D226EB" w:rsidR="00963662" w:rsidRPr="00754228" w:rsidRDefault="00963662" w:rsidP="00963662">
            <w:pPr>
              <w:jc w:val="both"/>
              <w:rPr>
                <w:rFonts w:cstheme="minorHAnsi"/>
                <w:color w:val="000000"/>
                <w:sz w:val="18"/>
                <w:szCs w:val="18"/>
              </w:rPr>
            </w:pPr>
            <w:r w:rsidRPr="00754228">
              <w:rPr>
                <w:rFonts w:cstheme="minorHAnsi"/>
                <w:color w:val="000000"/>
                <w:sz w:val="18"/>
                <w:szCs w:val="18"/>
              </w:rPr>
              <w:t>Wskaźnik dotyczący rozmiaru zdigitalizowanej informacji dotyczy danych wytworzonych w procesie digitalizacji w ramach projektu. Dane obejmują kompletny zasób źródłowy przeznaczony do digitalizacji. Z uwagi na obszerność zasobów w procesie skanowania zastosowana został kompresja LZW dla plików w formacie TIFF – dzięki temu rozmiar danych uległ znacznemu zmniejszeniu (bez szkody dla jakości danych referencyjnych). Ponadto, w związku z faktem, iż w projekcie rozbudowany został także Zintegrowany System Backupu i Archiwizacji (ZSBiA) całość wytworzonych danych posiada kopię bezpieczeństwa zarchiwizowaną na dyskach zapasowych w Centrum Przetwarzania Danych (w ramach usługi kolokacji sprzętu), co faktycznie oznacza, że wartość wskaźnika może być podwojona.</w:t>
            </w:r>
          </w:p>
          <w:p w14:paraId="202BD5EC" w14:textId="4CBA7C53" w:rsidR="00963662" w:rsidRPr="00754228" w:rsidRDefault="00963662" w:rsidP="00963662">
            <w:pPr>
              <w:jc w:val="both"/>
              <w:rPr>
                <w:rFonts w:cstheme="minorHAnsi"/>
                <w:sz w:val="18"/>
                <w:szCs w:val="18"/>
              </w:rPr>
            </w:pPr>
          </w:p>
          <w:p w14:paraId="1AA59FA1" w14:textId="77777777" w:rsidR="00963662" w:rsidRPr="00754228" w:rsidRDefault="00963662" w:rsidP="00963662">
            <w:pPr>
              <w:jc w:val="both"/>
              <w:rPr>
                <w:rFonts w:cstheme="minorHAnsi"/>
                <w:sz w:val="18"/>
                <w:szCs w:val="18"/>
                <w:lang w:eastAsia="pl-PL"/>
              </w:rPr>
            </w:pPr>
          </w:p>
          <w:p w14:paraId="0F5768D6" w14:textId="77777777" w:rsidR="003C4929" w:rsidRDefault="003C4929" w:rsidP="003C4929">
            <w:pPr>
              <w:pStyle w:val="Other0"/>
              <w:rPr>
                <w:b/>
                <w:bCs/>
              </w:rPr>
            </w:pPr>
            <w:r>
              <w:rPr>
                <w:b/>
                <w:bCs/>
              </w:rPr>
              <w:t>Pomiar wpływu zrealizowanego projektu oraz faktyczne wykorzystanie usług/produktów wytworzonych w ramach projektu po realizacji projektu mierzony będzie poprzez kontynuację monitorowania poniższych wskaźników rezultatu:</w:t>
            </w:r>
          </w:p>
          <w:p w14:paraId="461BA076" w14:textId="2CE79A3F" w:rsidR="00963662" w:rsidRPr="00754228" w:rsidRDefault="00963662" w:rsidP="00963662">
            <w:pPr>
              <w:jc w:val="both"/>
              <w:rPr>
                <w:rFonts w:cstheme="minorHAnsi"/>
                <w:sz w:val="18"/>
                <w:szCs w:val="18"/>
                <w:lang w:eastAsia="pl-PL"/>
              </w:rPr>
            </w:pPr>
          </w:p>
          <w:p w14:paraId="4C153263" w14:textId="7023C600" w:rsidR="00963662" w:rsidRPr="00754228" w:rsidRDefault="00963662" w:rsidP="00963662">
            <w:pPr>
              <w:jc w:val="both"/>
              <w:rPr>
                <w:rFonts w:cstheme="minorHAnsi"/>
                <w:color w:val="000000"/>
                <w:sz w:val="18"/>
                <w:szCs w:val="18"/>
                <w:lang w:eastAsia="pl-PL"/>
              </w:rPr>
            </w:pPr>
            <w:r w:rsidRPr="00754228">
              <w:rPr>
                <w:rFonts w:cstheme="minorHAnsi"/>
                <w:sz w:val="18"/>
                <w:szCs w:val="18"/>
                <w:lang w:eastAsia="pl-PL"/>
              </w:rPr>
              <w:t xml:space="preserve">1. </w:t>
            </w:r>
            <w:r w:rsidRPr="00754228">
              <w:rPr>
                <w:rFonts w:cstheme="minorHAnsi"/>
                <w:color w:val="000000"/>
                <w:sz w:val="18"/>
                <w:szCs w:val="18"/>
                <w:lang w:eastAsia="pl-PL"/>
              </w:rPr>
              <w:t>Liczba pobrań/odtworzeń dokumentów zawierających informacje sektora publicznego.</w:t>
            </w:r>
          </w:p>
          <w:p w14:paraId="276FECB5" w14:textId="5DE37B8F" w:rsidR="00963662" w:rsidRPr="00754228" w:rsidRDefault="00963662" w:rsidP="00963662">
            <w:pPr>
              <w:jc w:val="both"/>
              <w:rPr>
                <w:rFonts w:cstheme="minorHAnsi"/>
                <w:sz w:val="18"/>
                <w:szCs w:val="18"/>
                <w:lang w:eastAsia="pl-PL"/>
              </w:rPr>
            </w:pPr>
            <w:r w:rsidRPr="00754228">
              <w:rPr>
                <w:rFonts w:cstheme="minorHAnsi"/>
                <w:sz w:val="18"/>
                <w:szCs w:val="18"/>
                <w:lang w:eastAsia="pl-PL"/>
              </w:rPr>
              <w:t>Wartość zakładana: 650 000 odtworzeń/rok</w:t>
            </w:r>
          </w:p>
          <w:p w14:paraId="7B080B04" w14:textId="442571D4" w:rsidR="00963662" w:rsidRPr="00754228" w:rsidRDefault="00963662" w:rsidP="00963662">
            <w:pPr>
              <w:jc w:val="both"/>
              <w:rPr>
                <w:rFonts w:cstheme="minorHAnsi"/>
                <w:sz w:val="18"/>
                <w:szCs w:val="18"/>
                <w:lang w:eastAsia="pl-PL"/>
              </w:rPr>
            </w:pPr>
            <w:r w:rsidRPr="00754228">
              <w:rPr>
                <w:rFonts w:cstheme="minorHAnsi"/>
                <w:sz w:val="18"/>
                <w:szCs w:val="18"/>
                <w:lang w:eastAsia="pl-PL"/>
              </w:rPr>
              <w:t>Wartość osiągnięta (na koniec realizacji projektu): 1 871 968</w:t>
            </w:r>
          </w:p>
          <w:p w14:paraId="782923F5" w14:textId="6B8C9C58" w:rsidR="00963662" w:rsidRPr="00754228" w:rsidRDefault="00963662" w:rsidP="00963662">
            <w:pPr>
              <w:jc w:val="both"/>
              <w:rPr>
                <w:rFonts w:cstheme="minorHAnsi"/>
                <w:sz w:val="18"/>
                <w:szCs w:val="18"/>
                <w:lang w:eastAsia="pl-PL"/>
              </w:rPr>
            </w:pPr>
          </w:p>
          <w:p w14:paraId="0C56BD01" w14:textId="2E8B3873" w:rsidR="00963662" w:rsidRPr="00754228" w:rsidRDefault="00963662" w:rsidP="00963662">
            <w:pPr>
              <w:jc w:val="both"/>
              <w:rPr>
                <w:rFonts w:cstheme="minorHAnsi"/>
                <w:color w:val="000000"/>
                <w:sz w:val="18"/>
                <w:szCs w:val="18"/>
                <w:lang w:eastAsia="pl-PL"/>
              </w:rPr>
            </w:pPr>
            <w:r w:rsidRPr="00754228">
              <w:rPr>
                <w:rFonts w:cstheme="minorHAnsi"/>
                <w:sz w:val="18"/>
                <w:szCs w:val="18"/>
                <w:lang w:eastAsia="pl-PL"/>
              </w:rPr>
              <w:t xml:space="preserve">2. </w:t>
            </w:r>
            <w:r w:rsidR="00A727BD" w:rsidRPr="00754228">
              <w:rPr>
                <w:rFonts w:cstheme="minorHAnsi"/>
                <w:color w:val="000000"/>
                <w:sz w:val="18"/>
                <w:szCs w:val="18"/>
                <w:lang w:eastAsia="pl-PL"/>
              </w:rPr>
              <w:t>Liczba wygenerowanych kluczy API</w:t>
            </w:r>
          </w:p>
          <w:p w14:paraId="2E015E42" w14:textId="076E348E" w:rsidR="00A727BD" w:rsidRPr="00754228" w:rsidRDefault="00A727BD" w:rsidP="00963662">
            <w:pPr>
              <w:jc w:val="both"/>
              <w:rPr>
                <w:rFonts w:cstheme="minorHAnsi"/>
                <w:color w:val="000000"/>
                <w:sz w:val="18"/>
                <w:szCs w:val="18"/>
                <w:lang w:eastAsia="pl-PL"/>
              </w:rPr>
            </w:pPr>
            <w:r w:rsidRPr="00754228">
              <w:rPr>
                <w:rFonts w:cstheme="minorHAnsi"/>
                <w:color w:val="000000"/>
                <w:sz w:val="18"/>
                <w:szCs w:val="18"/>
                <w:lang w:eastAsia="pl-PL"/>
              </w:rPr>
              <w:t>Wartość zakładana: 17 szt.</w:t>
            </w:r>
          </w:p>
          <w:p w14:paraId="579171A2" w14:textId="1DDA04AD" w:rsidR="00920CE8" w:rsidRPr="00754228" w:rsidRDefault="00A727BD" w:rsidP="00BC120E">
            <w:pPr>
              <w:jc w:val="both"/>
              <w:rPr>
                <w:rFonts w:cstheme="minorHAnsi"/>
                <w:sz w:val="18"/>
                <w:szCs w:val="18"/>
                <w:lang w:eastAsia="pl-PL"/>
              </w:rPr>
            </w:pPr>
            <w:r w:rsidRPr="00754228">
              <w:rPr>
                <w:rFonts w:cstheme="minorHAnsi"/>
                <w:color w:val="000000"/>
                <w:sz w:val="18"/>
                <w:szCs w:val="18"/>
                <w:lang w:eastAsia="pl-PL"/>
              </w:rPr>
              <w:t>Wartość osiągnięta: 19 szt.</w:t>
            </w:r>
            <w:r w:rsidR="00632AA0" w:rsidRPr="00754228">
              <w:rPr>
                <w:rFonts w:cstheme="minorHAnsi"/>
                <w:i/>
                <w:sz w:val="18"/>
                <w:szCs w:val="18"/>
              </w:rPr>
              <w:t xml:space="preserve"> </w:t>
            </w:r>
          </w:p>
        </w:tc>
      </w:tr>
      <w:tr w:rsidR="007A0A3D" w:rsidRPr="00754228" w14:paraId="281DA6BF" w14:textId="77777777" w:rsidTr="00920CE8">
        <w:tc>
          <w:tcPr>
            <w:tcW w:w="480" w:type="dxa"/>
          </w:tcPr>
          <w:p w14:paraId="6F38A079" w14:textId="77777777" w:rsidR="007A0A3D" w:rsidRPr="00754228" w:rsidRDefault="007A0A3D" w:rsidP="007A0A3D">
            <w:pPr>
              <w:pStyle w:val="Akapitzlist"/>
              <w:numPr>
                <w:ilvl w:val="0"/>
                <w:numId w:val="1"/>
              </w:numPr>
              <w:rPr>
                <w:rFonts w:cstheme="minorHAnsi"/>
                <w:sz w:val="18"/>
                <w:szCs w:val="18"/>
              </w:rPr>
            </w:pPr>
          </w:p>
        </w:tc>
        <w:tc>
          <w:tcPr>
            <w:tcW w:w="2350" w:type="dxa"/>
          </w:tcPr>
          <w:p w14:paraId="6A7136D8" w14:textId="77777777" w:rsidR="007A0A3D" w:rsidRPr="00754228" w:rsidRDefault="005D4188" w:rsidP="00A6601B">
            <w:pPr>
              <w:rPr>
                <w:rFonts w:cstheme="minorHAnsi"/>
                <w:sz w:val="18"/>
                <w:szCs w:val="18"/>
              </w:rPr>
            </w:pPr>
            <w:r w:rsidRPr="00754228">
              <w:rPr>
                <w:rFonts w:cstheme="minorHAnsi"/>
                <w:sz w:val="18"/>
                <w:szCs w:val="18"/>
              </w:rPr>
              <w:t>Ryzyka i problemy</w:t>
            </w:r>
          </w:p>
        </w:tc>
        <w:tc>
          <w:tcPr>
            <w:tcW w:w="6232" w:type="dxa"/>
          </w:tcPr>
          <w:p w14:paraId="6E65BBF5" w14:textId="77777777" w:rsidR="003C4929" w:rsidRDefault="003C4929" w:rsidP="003C4929">
            <w:pPr>
              <w:pStyle w:val="Other0"/>
              <w:rPr>
                <w:b/>
                <w:bCs/>
              </w:rPr>
            </w:pPr>
            <w:r>
              <w:rPr>
                <w:b/>
                <w:bCs/>
              </w:rPr>
              <w:t>W przebiegu realizacji Projektu zostały zidentyfikowane następujące problemy i ryzyka:</w:t>
            </w:r>
          </w:p>
          <w:p w14:paraId="026A92C1" w14:textId="77777777" w:rsidR="003C4929" w:rsidRDefault="003C4929" w:rsidP="00BC120E">
            <w:pPr>
              <w:jc w:val="both"/>
              <w:rPr>
                <w:rFonts w:cstheme="minorHAnsi"/>
                <w:i/>
                <w:sz w:val="18"/>
                <w:szCs w:val="18"/>
              </w:rPr>
            </w:pPr>
          </w:p>
          <w:p w14:paraId="65EEC616" w14:textId="4AB0CCFD" w:rsidR="00496E24" w:rsidRPr="00754228" w:rsidRDefault="00496E24" w:rsidP="00BC120E">
            <w:pPr>
              <w:jc w:val="both"/>
              <w:rPr>
                <w:rFonts w:cstheme="minorHAnsi"/>
                <w:color w:val="000000"/>
                <w:sz w:val="18"/>
                <w:szCs w:val="18"/>
              </w:rPr>
            </w:pPr>
            <w:r w:rsidRPr="00754228">
              <w:rPr>
                <w:rFonts w:cstheme="minorHAnsi"/>
                <w:i/>
                <w:sz w:val="18"/>
                <w:szCs w:val="18"/>
              </w:rPr>
              <w:t xml:space="preserve">1. </w:t>
            </w:r>
            <w:r w:rsidRPr="00754228">
              <w:rPr>
                <w:rFonts w:cstheme="minorHAnsi"/>
                <w:color w:val="000000"/>
                <w:sz w:val="18"/>
                <w:szCs w:val="18"/>
              </w:rPr>
              <w:t>Opóźnienie realizacji prac w stosunku do założonego harmonogramu</w:t>
            </w:r>
          </w:p>
          <w:p w14:paraId="7BB4F1F4" w14:textId="67B32675" w:rsidR="00496E24" w:rsidRPr="00754228" w:rsidRDefault="00496E24" w:rsidP="00BC120E">
            <w:pPr>
              <w:jc w:val="both"/>
              <w:rPr>
                <w:rFonts w:cstheme="minorHAnsi"/>
                <w:color w:val="000000"/>
                <w:sz w:val="18"/>
                <w:szCs w:val="18"/>
              </w:rPr>
            </w:pPr>
          </w:p>
          <w:p w14:paraId="6BB3A254" w14:textId="31027B0B" w:rsidR="00496E24" w:rsidRPr="00754228" w:rsidRDefault="00496E24" w:rsidP="00496E24">
            <w:pPr>
              <w:jc w:val="both"/>
              <w:rPr>
                <w:rFonts w:cstheme="minorHAnsi"/>
                <w:color w:val="000000"/>
                <w:sz w:val="18"/>
                <w:szCs w:val="18"/>
              </w:rPr>
            </w:pPr>
            <w:r w:rsidRPr="00754228">
              <w:rPr>
                <w:rFonts w:cstheme="minorHAnsi"/>
                <w:color w:val="000000"/>
                <w:sz w:val="18"/>
                <w:szCs w:val="18"/>
              </w:rPr>
              <w:t>Sposób obsługi: Uzgadnianie szczegółowych harmonogramów; motywowanie personelu; optymalizacja procesów; wykorzystywanie narzędzi wspierających działania; identyfikowanie „wąskich gardeł”; organizowanie doraźnego wsparcia. Spodziewanym efektem działań jest eliminacja bądź ograniczenie występowania opóźnień. Na zmianę wpływ ma przede wszystkim sytuacja epidemiczna, której możliwymi skutkami są nieprzewidziane utrudnienia w realizacji poszczególnych działań, w efekcie mogących skutkować zmianami w harmonogramie.</w:t>
            </w:r>
          </w:p>
          <w:p w14:paraId="4FF54AF9" w14:textId="3F0C62D3" w:rsidR="00496E24" w:rsidRPr="00754228" w:rsidRDefault="00496E24" w:rsidP="00496E24">
            <w:pPr>
              <w:jc w:val="both"/>
              <w:rPr>
                <w:rFonts w:cstheme="minorHAnsi"/>
                <w:color w:val="000000"/>
                <w:sz w:val="18"/>
                <w:szCs w:val="18"/>
              </w:rPr>
            </w:pPr>
            <w:r w:rsidRPr="00754228">
              <w:rPr>
                <w:rFonts w:cstheme="minorHAnsi"/>
                <w:color w:val="000000"/>
                <w:sz w:val="18"/>
                <w:szCs w:val="18"/>
              </w:rPr>
              <w:t>Status: zamknięte (projekt zakończony)</w:t>
            </w:r>
          </w:p>
          <w:p w14:paraId="5938187C" w14:textId="58103319" w:rsidR="00496E24" w:rsidRPr="00754228" w:rsidRDefault="00496E24" w:rsidP="00496E24">
            <w:pPr>
              <w:jc w:val="both"/>
              <w:rPr>
                <w:rFonts w:cstheme="minorHAnsi"/>
                <w:color w:val="000000"/>
                <w:sz w:val="18"/>
                <w:szCs w:val="18"/>
              </w:rPr>
            </w:pPr>
          </w:p>
          <w:p w14:paraId="00852F10" w14:textId="38DE7AAB" w:rsidR="00496E24" w:rsidRPr="00754228" w:rsidRDefault="00496E24" w:rsidP="00496E24">
            <w:pPr>
              <w:jc w:val="both"/>
              <w:rPr>
                <w:rFonts w:cstheme="minorHAnsi"/>
                <w:color w:val="000000"/>
                <w:sz w:val="18"/>
                <w:szCs w:val="18"/>
              </w:rPr>
            </w:pPr>
            <w:r w:rsidRPr="00754228">
              <w:rPr>
                <w:rFonts w:cstheme="minorHAnsi"/>
                <w:color w:val="000000"/>
                <w:sz w:val="18"/>
                <w:szCs w:val="18"/>
              </w:rPr>
              <w:t>2. Rotacja kadrowa wśród pracowników odpowiedzialnych za realizację projektu</w:t>
            </w:r>
          </w:p>
          <w:p w14:paraId="4A14C84A" w14:textId="1A549461" w:rsidR="00496E24" w:rsidRPr="00754228" w:rsidRDefault="00496E24" w:rsidP="00496E24">
            <w:pPr>
              <w:jc w:val="both"/>
              <w:rPr>
                <w:rFonts w:cstheme="minorHAnsi"/>
                <w:color w:val="000000"/>
                <w:sz w:val="18"/>
                <w:szCs w:val="18"/>
              </w:rPr>
            </w:pPr>
          </w:p>
          <w:p w14:paraId="0D8A3AE8" w14:textId="5D51CABF" w:rsidR="00496E24" w:rsidRPr="00754228" w:rsidRDefault="00496E24" w:rsidP="00496E24">
            <w:pPr>
              <w:jc w:val="both"/>
              <w:rPr>
                <w:rFonts w:cstheme="minorHAnsi"/>
                <w:color w:val="000000"/>
                <w:sz w:val="18"/>
                <w:szCs w:val="18"/>
              </w:rPr>
            </w:pPr>
            <w:r w:rsidRPr="00754228">
              <w:rPr>
                <w:rFonts w:cstheme="minorHAnsi"/>
                <w:color w:val="000000"/>
                <w:sz w:val="18"/>
                <w:szCs w:val="18"/>
              </w:rPr>
              <w:t>Sposób obsługi: Staranny dobór pracowników; zapewnienie wynagrodzenia na satysfakcjonującym poziomie; motywowanie personelu. Spodziewanym efektem jest eliminacją bądź ograniczenie zjawiska rotacji personelu.</w:t>
            </w:r>
          </w:p>
          <w:p w14:paraId="7DFD572C" w14:textId="3506AB4B" w:rsidR="00496E24" w:rsidRPr="00754228" w:rsidRDefault="00496E24" w:rsidP="00BC120E">
            <w:pPr>
              <w:jc w:val="both"/>
              <w:rPr>
                <w:rFonts w:cstheme="minorHAnsi"/>
                <w:color w:val="000000"/>
                <w:sz w:val="18"/>
                <w:szCs w:val="18"/>
              </w:rPr>
            </w:pPr>
            <w:r w:rsidRPr="00754228">
              <w:rPr>
                <w:rFonts w:cstheme="minorHAnsi"/>
                <w:color w:val="000000"/>
                <w:sz w:val="18"/>
                <w:szCs w:val="18"/>
              </w:rPr>
              <w:t>Status: zamknięte (projekt zakończony)</w:t>
            </w:r>
          </w:p>
          <w:p w14:paraId="5BE6297F" w14:textId="27D2D164" w:rsidR="00496E24" w:rsidRPr="00754228" w:rsidRDefault="00496E24" w:rsidP="00BC120E">
            <w:pPr>
              <w:jc w:val="both"/>
              <w:rPr>
                <w:rFonts w:cstheme="minorHAnsi"/>
                <w:color w:val="000000"/>
                <w:sz w:val="18"/>
                <w:szCs w:val="18"/>
              </w:rPr>
            </w:pPr>
          </w:p>
          <w:p w14:paraId="5DB7C484" w14:textId="1690D8D9" w:rsidR="00496E24" w:rsidRPr="00754228" w:rsidRDefault="00496E24" w:rsidP="00BC120E">
            <w:pPr>
              <w:jc w:val="both"/>
              <w:rPr>
                <w:rFonts w:cstheme="minorHAnsi"/>
                <w:color w:val="000000"/>
                <w:sz w:val="18"/>
                <w:szCs w:val="18"/>
              </w:rPr>
            </w:pPr>
            <w:r w:rsidRPr="00754228">
              <w:rPr>
                <w:rFonts w:cstheme="minorHAnsi"/>
                <w:color w:val="000000"/>
                <w:sz w:val="18"/>
                <w:szCs w:val="18"/>
              </w:rPr>
              <w:t>3. Opóźnienie we wpływie kolejnych transz płatności w ramach dofinansowania</w:t>
            </w:r>
          </w:p>
          <w:p w14:paraId="4DDBADAF" w14:textId="7FA2FCE5" w:rsidR="00496E24" w:rsidRPr="00754228" w:rsidRDefault="00496E24" w:rsidP="00BC120E">
            <w:pPr>
              <w:jc w:val="both"/>
              <w:rPr>
                <w:rFonts w:cstheme="minorHAnsi"/>
                <w:color w:val="000000"/>
                <w:sz w:val="18"/>
                <w:szCs w:val="18"/>
              </w:rPr>
            </w:pPr>
          </w:p>
          <w:p w14:paraId="161FF862" w14:textId="2C5E9568" w:rsidR="00496E24" w:rsidRPr="00754228" w:rsidRDefault="00496E24" w:rsidP="00496E24">
            <w:pPr>
              <w:jc w:val="both"/>
              <w:rPr>
                <w:rFonts w:cstheme="minorHAnsi"/>
                <w:color w:val="000000"/>
                <w:sz w:val="18"/>
                <w:szCs w:val="18"/>
              </w:rPr>
            </w:pPr>
            <w:r w:rsidRPr="00754228">
              <w:rPr>
                <w:rFonts w:cstheme="minorHAnsi"/>
                <w:color w:val="000000"/>
                <w:sz w:val="18"/>
                <w:szCs w:val="18"/>
              </w:rPr>
              <w:t xml:space="preserve">Sposób obsługi: Sporządzanie kompletnych formalnie i merytorycznie wniosków o płatność w terminach wynikających z założonego harmonogramu. Spodziewanym efektem podejmowanych działań jest ograniczenie ryzyka zapytań bądź uwag do </w:t>
            </w:r>
            <w:r w:rsidRPr="00754228">
              <w:rPr>
                <w:rFonts w:cstheme="minorHAnsi"/>
                <w:color w:val="000000"/>
                <w:sz w:val="18"/>
                <w:szCs w:val="18"/>
              </w:rPr>
              <w:lastRenderedPageBreak/>
              <w:t>składanych wniosków o płatność co powinno zmniejszyć ryzyko opóźnień w wypłatach kolejnych transz.</w:t>
            </w:r>
          </w:p>
          <w:p w14:paraId="2ACCD3BB" w14:textId="053CAD43" w:rsidR="00496E24" w:rsidRPr="00754228" w:rsidRDefault="00496E24" w:rsidP="00496E24">
            <w:pPr>
              <w:jc w:val="both"/>
              <w:rPr>
                <w:rFonts w:cstheme="minorHAnsi"/>
                <w:color w:val="000000"/>
                <w:sz w:val="18"/>
                <w:szCs w:val="18"/>
              </w:rPr>
            </w:pPr>
            <w:r w:rsidRPr="00754228">
              <w:rPr>
                <w:rFonts w:cstheme="minorHAnsi"/>
                <w:color w:val="000000"/>
                <w:sz w:val="18"/>
                <w:szCs w:val="18"/>
              </w:rPr>
              <w:t>Status: zamknięte (projekt zakończony).</w:t>
            </w:r>
          </w:p>
          <w:p w14:paraId="03CF91E0" w14:textId="4D1BEA22" w:rsidR="00496E24" w:rsidRPr="00754228" w:rsidRDefault="00496E24" w:rsidP="00496E24">
            <w:pPr>
              <w:jc w:val="both"/>
              <w:rPr>
                <w:rFonts w:cstheme="minorHAnsi"/>
                <w:color w:val="000000"/>
                <w:sz w:val="18"/>
                <w:szCs w:val="18"/>
              </w:rPr>
            </w:pPr>
          </w:p>
          <w:p w14:paraId="42F1F730" w14:textId="7B230776" w:rsidR="00496E24" w:rsidRPr="00754228" w:rsidRDefault="00496E24" w:rsidP="00496E24">
            <w:pPr>
              <w:jc w:val="both"/>
              <w:rPr>
                <w:rFonts w:cstheme="minorHAnsi"/>
                <w:color w:val="000000"/>
                <w:sz w:val="18"/>
                <w:szCs w:val="18"/>
              </w:rPr>
            </w:pPr>
            <w:r w:rsidRPr="00754228">
              <w:rPr>
                <w:rFonts w:cstheme="minorHAnsi"/>
                <w:color w:val="000000"/>
                <w:sz w:val="18"/>
                <w:szCs w:val="18"/>
              </w:rPr>
              <w:t>4. Koszty zbudowania systemu przekroczą zakładany budżet</w:t>
            </w:r>
          </w:p>
          <w:p w14:paraId="09E23DF8" w14:textId="47700F90" w:rsidR="00496E24" w:rsidRPr="00754228" w:rsidRDefault="00496E24" w:rsidP="00496E24">
            <w:pPr>
              <w:jc w:val="both"/>
              <w:rPr>
                <w:rFonts w:cstheme="minorHAnsi"/>
                <w:color w:val="000000"/>
                <w:sz w:val="18"/>
                <w:szCs w:val="18"/>
              </w:rPr>
            </w:pPr>
          </w:p>
          <w:p w14:paraId="59DE17B0" w14:textId="40CDDD34" w:rsidR="00496E24" w:rsidRPr="00754228" w:rsidRDefault="00496E24" w:rsidP="00496E24">
            <w:pPr>
              <w:jc w:val="both"/>
              <w:rPr>
                <w:rFonts w:cstheme="minorHAnsi"/>
                <w:color w:val="000000"/>
                <w:sz w:val="18"/>
                <w:szCs w:val="18"/>
              </w:rPr>
            </w:pPr>
            <w:r w:rsidRPr="00754228">
              <w:rPr>
                <w:rFonts w:cstheme="minorHAnsi"/>
                <w:color w:val="000000"/>
                <w:sz w:val="18"/>
                <w:szCs w:val="18"/>
              </w:rPr>
              <w:t xml:space="preserve">Sposób obsługi: Pierwotnie zwiększono prawdopodobieństwo wystąpienia ryzyka ze względu na arbitralne obniżenie budżetu przez ekspertów oceniających wniosek o dofinansowanie w obszarze doradztwa IT oraz usługi programistycznej dokonane na etapie oceny wniosku o dofinansowanie.  Wyniki przetargu potwierdziły, że kwota przeznaczona na realizację zakładanego zakresu rzeczowego była niewystarczająca. Reakcja na ryzyko: zastosowano przesunięcie środków na ten cel z oszczędności w innych pozycjach. Spodziewanym efektem działań będzie zabezpieczenie właściwych kwot na realizacje zadania w pełnym zakresie. Ze względu na możliwość wykorzystania nadwyżki budżetowej wynikającej z niższej niż szacowano wartości zamówienia na usługi digitalizacyjne dokonano odpowiedniej relokacji środków w budżecie oraz zmniejszono prawdopodobieństwo wystąpienia ryzyka do średniego poziomu. </w:t>
            </w:r>
          </w:p>
          <w:p w14:paraId="3111D131" w14:textId="40BB0867" w:rsidR="00496E24" w:rsidRPr="00754228" w:rsidRDefault="00496E24" w:rsidP="00496E24">
            <w:pPr>
              <w:jc w:val="both"/>
              <w:rPr>
                <w:rFonts w:cstheme="minorHAnsi"/>
                <w:color w:val="000000"/>
                <w:sz w:val="18"/>
                <w:szCs w:val="18"/>
              </w:rPr>
            </w:pPr>
            <w:r w:rsidRPr="00754228">
              <w:rPr>
                <w:rFonts w:cstheme="minorHAnsi"/>
                <w:color w:val="000000"/>
                <w:sz w:val="18"/>
                <w:szCs w:val="18"/>
              </w:rPr>
              <w:t>Status: zamknięte (projekt zakończony).</w:t>
            </w:r>
          </w:p>
          <w:p w14:paraId="623E27D0" w14:textId="058A52F3" w:rsidR="00496E24" w:rsidRPr="00754228" w:rsidRDefault="00496E24" w:rsidP="00496E24">
            <w:pPr>
              <w:jc w:val="both"/>
              <w:rPr>
                <w:rFonts w:cstheme="minorHAnsi"/>
                <w:color w:val="000000"/>
                <w:sz w:val="18"/>
                <w:szCs w:val="18"/>
              </w:rPr>
            </w:pPr>
          </w:p>
          <w:p w14:paraId="269CD579" w14:textId="3EA4C5BB" w:rsidR="00496E24" w:rsidRPr="00754228" w:rsidRDefault="00496E24" w:rsidP="00496E24">
            <w:pPr>
              <w:jc w:val="both"/>
              <w:rPr>
                <w:rFonts w:cstheme="minorHAnsi"/>
                <w:color w:val="000000"/>
                <w:sz w:val="18"/>
                <w:szCs w:val="18"/>
              </w:rPr>
            </w:pPr>
            <w:r w:rsidRPr="00754228">
              <w:rPr>
                <w:rFonts w:cstheme="minorHAnsi"/>
                <w:color w:val="000000"/>
                <w:sz w:val="18"/>
                <w:szCs w:val="18"/>
              </w:rPr>
              <w:t>5. Opóźnienia w postępowaniach przetargowych wynikające z konieczności stosowania złożonych procedur wynikających z przepisów ustawy Pzp</w:t>
            </w:r>
          </w:p>
          <w:p w14:paraId="52426D1A" w14:textId="596053F0" w:rsidR="00496E24" w:rsidRPr="00754228" w:rsidRDefault="00496E24" w:rsidP="00496E24">
            <w:pPr>
              <w:jc w:val="both"/>
              <w:rPr>
                <w:rFonts w:cstheme="minorHAnsi"/>
                <w:color w:val="000000"/>
                <w:sz w:val="18"/>
                <w:szCs w:val="18"/>
              </w:rPr>
            </w:pPr>
          </w:p>
          <w:p w14:paraId="53D04AA8" w14:textId="5F979B7A" w:rsidR="00496E24" w:rsidRPr="00754228" w:rsidRDefault="00496E24" w:rsidP="00496E24">
            <w:pPr>
              <w:jc w:val="both"/>
              <w:rPr>
                <w:rFonts w:cstheme="minorHAnsi"/>
                <w:color w:val="000000"/>
                <w:sz w:val="18"/>
                <w:szCs w:val="18"/>
              </w:rPr>
            </w:pPr>
            <w:r w:rsidRPr="00754228">
              <w:rPr>
                <w:rFonts w:cstheme="minorHAnsi"/>
                <w:color w:val="000000"/>
                <w:sz w:val="18"/>
                <w:szCs w:val="18"/>
              </w:rPr>
              <w:t>Sposób obsługi: Reakcja na ryzyko: przeniesienie. Zwiększanie intensywności prac po stronie wykonawcy (wykonanie usługi w krótszym czasie). Spodziewanym efektem działań będzie niwelacja opóźnień powstałych w czasie realizacji procedur zamówieniowych.</w:t>
            </w:r>
          </w:p>
          <w:p w14:paraId="5F8101B1" w14:textId="35561E86" w:rsidR="00496E24" w:rsidRPr="00754228" w:rsidRDefault="00496E24" w:rsidP="00496E24">
            <w:pPr>
              <w:jc w:val="both"/>
              <w:rPr>
                <w:rFonts w:cstheme="minorHAnsi"/>
                <w:color w:val="000000"/>
                <w:sz w:val="18"/>
                <w:szCs w:val="18"/>
              </w:rPr>
            </w:pPr>
            <w:r w:rsidRPr="00754228">
              <w:rPr>
                <w:rFonts w:cstheme="minorHAnsi"/>
                <w:color w:val="000000"/>
                <w:sz w:val="18"/>
                <w:szCs w:val="18"/>
              </w:rPr>
              <w:t>Status: zamknięte (projekt zakończony).</w:t>
            </w:r>
          </w:p>
          <w:p w14:paraId="43DDCCCD" w14:textId="2F06B14F" w:rsidR="00496E24" w:rsidRPr="00754228" w:rsidRDefault="00496E24" w:rsidP="00496E24">
            <w:pPr>
              <w:jc w:val="both"/>
              <w:rPr>
                <w:rFonts w:cstheme="minorHAnsi"/>
                <w:color w:val="000000"/>
                <w:sz w:val="18"/>
                <w:szCs w:val="18"/>
              </w:rPr>
            </w:pPr>
          </w:p>
          <w:p w14:paraId="2ECCFF90" w14:textId="1A1A88AE" w:rsidR="00496E24" w:rsidRPr="00754228" w:rsidRDefault="00496E24" w:rsidP="00496E24">
            <w:pPr>
              <w:jc w:val="both"/>
              <w:rPr>
                <w:rFonts w:cstheme="minorHAnsi"/>
                <w:color w:val="000000"/>
                <w:sz w:val="18"/>
                <w:szCs w:val="18"/>
              </w:rPr>
            </w:pPr>
            <w:r w:rsidRPr="00754228">
              <w:rPr>
                <w:rFonts w:cstheme="minorHAnsi"/>
                <w:color w:val="000000"/>
                <w:sz w:val="18"/>
                <w:szCs w:val="18"/>
              </w:rPr>
              <w:t>6. Destabilizacja harmonogramu realizacji Projektu spowodowana pandemia koronawirusa</w:t>
            </w:r>
          </w:p>
          <w:p w14:paraId="06FA3B64" w14:textId="48C521B0" w:rsidR="00496E24" w:rsidRPr="00754228" w:rsidRDefault="00496E24" w:rsidP="00496E24">
            <w:pPr>
              <w:jc w:val="both"/>
              <w:rPr>
                <w:rFonts w:cstheme="minorHAnsi"/>
                <w:color w:val="000000"/>
                <w:sz w:val="18"/>
                <w:szCs w:val="18"/>
              </w:rPr>
            </w:pPr>
          </w:p>
          <w:p w14:paraId="60638B21" w14:textId="77777777" w:rsidR="00496E24" w:rsidRPr="00754228" w:rsidRDefault="00496E24" w:rsidP="00496E24">
            <w:pPr>
              <w:jc w:val="both"/>
              <w:rPr>
                <w:rFonts w:cstheme="minorHAnsi"/>
                <w:color w:val="000000"/>
                <w:sz w:val="18"/>
                <w:szCs w:val="18"/>
              </w:rPr>
            </w:pPr>
            <w:r w:rsidRPr="00754228">
              <w:rPr>
                <w:rFonts w:cstheme="minorHAnsi"/>
                <w:color w:val="000000"/>
                <w:sz w:val="18"/>
                <w:szCs w:val="18"/>
              </w:rPr>
              <w:t xml:space="preserve">Sposób obsługi: Uzgodnienie z wykonawcą prac digitalizacyjnych nowego harmonogramu. Ścisłe monitorowanie przebiegu realizacji Zadań projektowych oraz reagowanie na pojawiające się trudności. </w:t>
            </w:r>
          </w:p>
          <w:p w14:paraId="4DAA4187" w14:textId="381D8AD3" w:rsidR="00496E24" w:rsidRPr="00754228" w:rsidRDefault="00496E24" w:rsidP="00496E24">
            <w:pPr>
              <w:jc w:val="both"/>
              <w:rPr>
                <w:rFonts w:cstheme="minorHAnsi"/>
                <w:color w:val="000000"/>
                <w:sz w:val="18"/>
                <w:szCs w:val="18"/>
              </w:rPr>
            </w:pPr>
            <w:r w:rsidRPr="00754228">
              <w:rPr>
                <w:rFonts w:cstheme="minorHAnsi"/>
                <w:color w:val="000000"/>
                <w:sz w:val="18"/>
                <w:szCs w:val="18"/>
              </w:rPr>
              <w:t>Status: zamknięte (projekt zakończony)</w:t>
            </w:r>
          </w:p>
          <w:p w14:paraId="1451FB2D" w14:textId="65DD5FF5" w:rsidR="007A0A3D" w:rsidRPr="00754228" w:rsidRDefault="007A0A3D" w:rsidP="00BC120E">
            <w:pPr>
              <w:jc w:val="both"/>
              <w:rPr>
                <w:rFonts w:cstheme="minorHAnsi"/>
                <w:i/>
                <w:sz w:val="18"/>
                <w:szCs w:val="18"/>
              </w:rPr>
            </w:pPr>
          </w:p>
        </w:tc>
      </w:tr>
      <w:tr w:rsidR="00813FEF" w:rsidRPr="00754228" w14:paraId="5669790D" w14:textId="77777777" w:rsidTr="00813FEF">
        <w:tc>
          <w:tcPr>
            <w:tcW w:w="480" w:type="dxa"/>
          </w:tcPr>
          <w:p w14:paraId="1492A61C" w14:textId="77777777" w:rsidR="00813FEF" w:rsidRPr="00754228" w:rsidRDefault="00813FEF" w:rsidP="0058262E">
            <w:pPr>
              <w:pStyle w:val="Akapitzlist"/>
              <w:numPr>
                <w:ilvl w:val="0"/>
                <w:numId w:val="1"/>
              </w:numPr>
              <w:rPr>
                <w:rFonts w:cstheme="minorHAnsi"/>
                <w:sz w:val="18"/>
                <w:szCs w:val="18"/>
              </w:rPr>
            </w:pPr>
          </w:p>
        </w:tc>
        <w:tc>
          <w:tcPr>
            <w:tcW w:w="2350" w:type="dxa"/>
          </w:tcPr>
          <w:p w14:paraId="58FB46E7" w14:textId="77777777" w:rsidR="00813FEF" w:rsidRPr="00754228" w:rsidRDefault="009D3D41" w:rsidP="009D3D41">
            <w:pPr>
              <w:rPr>
                <w:rFonts w:cstheme="minorHAnsi"/>
                <w:sz w:val="18"/>
                <w:szCs w:val="18"/>
              </w:rPr>
            </w:pPr>
            <w:r w:rsidRPr="00754228">
              <w:rPr>
                <w:rFonts w:cstheme="minorHAnsi"/>
                <w:sz w:val="18"/>
                <w:szCs w:val="18"/>
              </w:rPr>
              <w:t>U</w:t>
            </w:r>
            <w:r w:rsidR="00813FEF" w:rsidRPr="00754228">
              <w:rPr>
                <w:rFonts w:cstheme="minorHAnsi"/>
                <w:sz w:val="18"/>
                <w:szCs w:val="18"/>
              </w:rPr>
              <w:t xml:space="preserve">zyskane korzyści </w:t>
            </w:r>
          </w:p>
        </w:tc>
        <w:tc>
          <w:tcPr>
            <w:tcW w:w="6232" w:type="dxa"/>
          </w:tcPr>
          <w:p w14:paraId="0DE3EE25" w14:textId="53FF9891" w:rsidR="00754228" w:rsidRPr="00754228" w:rsidRDefault="00754228" w:rsidP="00754228">
            <w:pPr>
              <w:contextualSpacing/>
              <w:jc w:val="both"/>
              <w:rPr>
                <w:rFonts w:cstheme="minorHAnsi"/>
                <w:sz w:val="18"/>
                <w:szCs w:val="18"/>
              </w:rPr>
            </w:pPr>
            <w:r w:rsidRPr="00754228">
              <w:rPr>
                <w:rFonts w:cstheme="minorHAnsi"/>
                <w:sz w:val="18"/>
                <w:szCs w:val="18"/>
              </w:rPr>
              <w:t>W efekcie realizacji projektu zostanie zapewniony powszechny i bezpłatny dostęp do zasobu stanowiącego dziedzictwo kulturowe Polski,  Otwarty dostęp do informacji o zabytkach oraz grobów i cmentarzy wojennych i ich dokumentacji ułatwi wykonywanie działań statutowych przez organy i instytucje realizujące zadania w zakresie ochrony i opieki nad zabytkami bądź promocji kultury. Udostępniane dane będą mogły być wykorzystywane także na potrzeby badań społecznych, aktywności turystyczno-kulturalnej oraz działalności gospodarczej w określonych branżach. Ponadto, utrwalenie dokumentacji w wersji cyfrowej zapewni ich ochronę oraz trwałe zachowanie.</w:t>
            </w:r>
          </w:p>
          <w:p w14:paraId="0F8CC852" w14:textId="26EDBCDE" w:rsidR="00754228" w:rsidRPr="00754228" w:rsidRDefault="00754228" w:rsidP="00754228">
            <w:pPr>
              <w:contextualSpacing/>
              <w:jc w:val="both"/>
              <w:rPr>
                <w:rFonts w:cstheme="minorHAnsi"/>
                <w:sz w:val="18"/>
                <w:szCs w:val="18"/>
              </w:rPr>
            </w:pPr>
          </w:p>
          <w:p w14:paraId="7CDD71F3" w14:textId="4F654BB2" w:rsidR="00813FEF" w:rsidRPr="00754228" w:rsidRDefault="00754228" w:rsidP="00754228">
            <w:pPr>
              <w:contextualSpacing/>
              <w:jc w:val="both"/>
              <w:rPr>
                <w:rFonts w:cstheme="minorHAnsi"/>
                <w:sz w:val="18"/>
                <w:szCs w:val="18"/>
              </w:rPr>
            </w:pPr>
            <w:r w:rsidRPr="00754228">
              <w:rPr>
                <w:rFonts w:cstheme="minorHAnsi"/>
                <w:sz w:val="18"/>
                <w:szCs w:val="18"/>
              </w:rPr>
              <w:t>Po zakończeniu realizacji projektu rozbudowany system gromadzenia i powszechnego udostępniania danych o zabytkach oraz grobach i cmentarzach wojennych, w oparciu o zaprojektowany i wdrożony moduł statystyczny, na bieżąco zlicza ilość pobrań i odtworzeń dokumentów zdigitalizowanych i udostępnionych na stronach zabytek.pl, archiwum.zabytek.pl oraz mapy.zabytek.gov.pl. W oparciu o pozyskane w ten sposób dane przygotowywane będą raporty roczne dot. potwierdzenia utrzymania trwałości efektów projektu, a ponadto, informacje te posłużą do bieżącego monitorowania poziomu wykorzystania wytworzonych w ramach projektu zasobów cyfrowych.</w:t>
            </w:r>
          </w:p>
        </w:tc>
      </w:tr>
      <w:tr w:rsidR="00F82254" w:rsidRPr="00754228" w14:paraId="31BB62EA" w14:textId="77777777" w:rsidTr="00813FEF">
        <w:tc>
          <w:tcPr>
            <w:tcW w:w="480" w:type="dxa"/>
          </w:tcPr>
          <w:p w14:paraId="2755D8A4" w14:textId="77777777" w:rsidR="00F82254" w:rsidRPr="00754228" w:rsidRDefault="00F82254" w:rsidP="0058262E">
            <w:pPr>
              <w:pStyle w:val="Akapitzlist"/>
              <w:numPr>
                <w:ilvl w:val="0"/>
                <w:numId w:val="1"/>
              </w:numPr>
              <w:rPr>
                <w:rFonts w:cstheme="minorHAnsi"/>
                <w:sz w:val="18"/>
                <w:szCs w:val="18"/>
              </w:rPr>
            </w:pPr>
          </w:p>
        </w:tc>
        <w:tc>
          <w:tcPr>
            <w:tcW w:w="2350" w:type="dxa"/>
          </w:tcPr>
          <w:p w14:paraId="2364DB27" w14:textId="77777777" w:rsidR="00F82254" w:rsidRPr="00754228" w:rsidRDefault="00F82254" w:rsidP="00F82254">
            <w:pPr>
              <w:rPr>
                <w:rFonts w:cstheme="minorHAnsi"/>
                <w:sz w:val="18"/>
                <w:szCs w:val="18"/>
              </w:rPr>
            </w:pPr>
            <w:r w:rsidRPr="00754228">
              <w:rPr>
                <w:rFonts w:cstheme="minorHAnsi"/>
                <w:sz w:val="18"/>
                <w:szCs w:val="18"/>
              </w:rPr>
              <w:t>E-usługi i rejestry z jakimi zintegrował się wytworzony system w ramach realizacji projektu</w:t>
            </w:r>
          </w:p>
        </w:tc>
        <w:tc>
          <w:tcPr>
            <w:tcW w:w="6232" w:type="dxa"/>
          </w:tcPr>
          <w:p w14:paraId="4BBEF11B" w14:textId="77777777" w:rsidR="00116D07" w:rsidRPr="00754228" w:rsidRDefault="00116D07" w:rsidP="00116D07">
            <w:pPr>
              <w:rPr>
                <w:rFonts w:cstheme="minorHAnsi"/>
                <w:color w:val="000000"/>
                <w:sz w:val="18"/>
                <w:szCs w:val="18"/>
              </w:rPr>
            </w:pPr>
            <w:r w:rsidRPr="00754228">
              <w:rPr>
                <w:rFonts w:cstheme="minorHAnsi"/>
                <w:color w:val="000000"/>
                <w:sz w:val="18"/>
                <w:szCs w:val="18"/>
              </w:rPr>
              <w:t xml:space="preserve">Nazwa systemu lub rejestru: </w:t>
            </w:r>
            <w:hyperlink r:id="rId8" w:history="1">
              <w:r w:rsidRPr="00754228">
                <w:rPr>
                  <w:rStyle w:val="Hipercze"/>
                  <w:rFonts w:cstheme="minorHAnsi"/>
                  <w:sz w:val="18"/>
                  <w:szCs w:val="18"/>
                </w:rPr>
                <w:t>www.zbytek.pl</w:t>
              </w:r>
            </w:hyperlink>
            <w:r w:rsidRPr="00754228">
              <w:rPr>
                <w:rFonts w:cstheme="minorHAnsi"/>
                <w:color w:val="000000"/>
                <w:sz w:val="18"/>
                <w:szCs w:val="18"/>
              </w:rPr>
              <w:t xml:space="preserve"> oraz </w:t>
            </w:r>
            <w:hyperlink r:id="rId9" w:history="1">
              <w:r w:rsidRPr="00754228">
                <w:rPr>
                  <w:rStyle w:val="Hipercze"/>
                  <w:rFonts w:cstheme="minorHAnsi"/>
                  <w:sz w:val="18"/>
                  <w:szCs w:val="18"/>
                </w:rPr>
                <w:t>www.mapy.zabytek.gov.pl</w:t>
              </w:r>
            </w:hyperlink>
          </w:p>
          <w:p w14:paraId="19149173" w14:textId="2CE96AC1" w:rsidR="00116D07" w:rsidRPr="00754228" w:rsidRDefault="00116D07" w:rsidP="00DB70A5">
            <w:pPr>
              <w:jc w:val="both"/>
              <w:rPr>
                <w:rFonts w:cstheme="minorHAnsi"/>
                <w:i/>
                <w:sz w:val="18"/>
                <w:szCs w:val="18"/>
              </w:rPr>
            </w:pPr>
          </w:p>
          <w:p w14:paraId="05D5F323" w14:textId="77777777" w:rsidR="00F82254" w:rsidRDefault="00116D07" w:rsidP="00DB70A5">
            <w:pPr>
              <w:jc w:val="both"/>
              <w:rPr>
                <w:rFonts w:cstheme="minorHAnsi"/>
                <w:color w:val="000000"/>
                <w:sz w:val="18"/>
                <w:szCs w:val="18"/>
              </w:rPr>
            </w:pPr>
            <w:r w:rsidRPr="00754228">
              <w:rPr>
                <w:rFonts w:cstheme="minorHAnsi"/>
                <w:color w:val="000000"/>
                <w:sz w:val="18"/>
                <w:szCs w:val="18"/>
              </w:rPr>
              <w:t xml:space="preserve">Narodowy Instytut Dziedzictwa dysponuje narzędziami dotyczącymi udostępniania informacji nt. obiektów zabytkowych: </w:t>
            </w:r>
            <w:hyperlink r:id="rId10" w:history="1">
              <w:r w:rsidRPr="00754228">
                <w:rPr>
                  <w:rStyle w:val="Hipercze"/>
                  <w:rFonts w:cstheme="minorHAnsi"/>
                  <w:color w:val="000000"/>
                  <w:sz w:val="18"/>
                  <w:szCs w:val="18"/>
                </w:rPr>
                <w:t>www.zabytek.pl</w:t>
              </w:r>
            </w:hyperlink>
            <w:r w:rsidRPr="00754228">
              <w:rPr>
                <w:rFonts w:cstheme="minorHAnsi"/>
                <w:color w:val="000000"/>
                <w:sz w:val="18"/>
                <w:szCs w:val="18"/>
              </w:rPr>
              <w:t xml:space="preserve"> oraz </w:t>
            </w:r>
            <w:hyperlink r:id="rId11" w:history="1">
              <w:r w:rsidRPr="00754228">
                <w:rPr>
                  <w:rStyle w:val="Hipercze"/>
                  <w:rFonts w:cstheme="minorHAnsi"/>
                  <w:color w:val="000000"/>
                  <w:sz w:val="18"/>
                  <w:szCs w:val="18"/>
                </w:rPr>
                <w:t>www.mapy.zabytek.gov.pl</w:t>
              </w:r>
            </w:hyperlink>
            <w:r w:rsidRPr="00754228">
              <w:rPr>
                <w:rFonts w:cstheme="minorHAnsi"/>
                <w:color w:val="000000"/>
                <w:sz w:val="18"/>
                <w:szCs w:val="18"/>
              </w:rPr>
              <w:t xml:space="preserve">. Na potrzeby realizacji projektu system prezentacji i udostępniania danych dotyczących zabytków został rozbudowany w celu orientacji na nowych użytkowników, zwiększenia wydajności, woluminu zgromadzonych </w:t>
            </w:r>
            <w:r w:rsidRPr="00754228">
              <w:rPr>
                <w:rFonts w:cstheme="minorHAnsi"/>
                <w:color w:val="000000"/>
                <w:sz w:val="18"/>
                <w:szCs w:val="18"/>
              </w:rPr>
              <w:lastRenderedPageBreak/>
              <w:t>danych oraz z uwagi na specyfikę nowego zasobu będącego przedmiotem digitalizacji. W wyniku realizacji projektu system działa w oparciu o moduły: wprowadzania, modyfikowania i zarządzania danymi cyfrowymi obiektów zabytkowych; prezentowania postaci cyfrowych dokumentów; generowania raportów i zestawień; API do pobierania metadanych. Ponadto, w związku z realizacją projektu konieczne stało się zapewnienie wydajnej i bezpiecznej infrastruktury serwerowej dającej możliwości skutecznej prezentacji zdigitalizowanego zasobu pozostającego w zasobie NID. W celu zapewnienia optymalnych warunków gromadzenia, archiwizacji oraz back up’u w ramach projektu dokonano modernizacji (rozbudowy) systemu infrastruktury serwerowni o elementy umożliwiające zapewnienie tych warunków.</w:t>
            </w:r>
          </w:p>
          <w:p w14:paraId="7BDD3E95" w14:textId="77777777" w:rsidR="0028304F" w:rsidRDefault="0028304F" w:rsidP="00DB70A5">
            <w:pPr>
              <w:jc w:val="both"/>
              <w:rPr>
                <w:rFonts w:cstheme="minorHAnsi"/>
                <w:color w:val="000000"/>
                <w:sz w:val="18"/>
                <w:szCs w:val="18"/>
              </w:rPr>
            </w:pPr>
          </w:p>
          <w:p w14:paraId="5B9301DD" w14:textId="61C13ACB" w:rsidR="0028304F" w:rsidRPr="00754228" w:rsidRDefault="0028304F" w:rsidP="00DB70A5">
            <w:pPr>
              <w:jc w:val="both"/>
              <w:rPr>
                <w:rFonts w:cstheme="minorHAnsi"/>
                <w:i/>
                <w:sz w:val="18"/>
                <w:szCs w:val="18"/>
              </w:rPr>
            </w:pPr>
            <w:r>
              <w:rPr>
                <w:rFonts w:cstheme="minorHAnsi"/>
                <w:color w:val="000000"/>
                <w:sz w:val="18"/>
                <w:szCs w:val="18"/>
              </w:rPr>
              <w:t xml:space="preserve">Aktualny status integracji: </w:t>
            </w:r>
            <w:r w:rsidR="001C7ABB">
              <w:rPr>
                <w:rFonts w:cstheme="minorHAnsi"/>
                <w:color w:val="000000"/>
                <w:sz w:val="18"/>
                <w:szCs w:val="18"/>
              </w:rPr>
              <w:t>wdrożone</w:t>
            </w:r>
          </w:p>
        </w:tc>
      </w:tr>
      <w:tr w:rsidR="007C54F9" w:rsidRPr="00754228" w14:paraId="11225998" w14:textId="77777777" w:rsidTr="00813FEF">
        <w:tc>
          <w:tcPr>
            <w:tcW w:w="480" w:type="dxa"/>
          </w:tcPr>
          <w:p w14:paraId="7CCE667F" w14:textId="77777777" w:rsidR="007C54F9" w:rsidRPr="00754228" w:rsidRDefault="007C54F9" w:rsidP="0058262E">
            <w:pPr>
              <w:pStyle w:val="Akapitzlist"/>
              <w:numPr>
                <w:ilvl w:val="0"/>
                <w:numId w:val="1"/>
              </w:numPr>
              <w:rPr>
                <w:rFonts w:cstheme="minorHAnsi"/>
                <w:sz w:val="18"/>
                <w:szCs w:val="18"/>
              </w:rPr>
            </w:pPr>
          </w:p>
        </w:tc>
        <w:tc>
          <w:tcPr>
            <w:tcW w:w="2350" w:type="dxa"/>
          </w:tcPr>
          <w:p w14:paraId="153F1EE2" w14:textId="77777777" w:rsidR="007C54F9" w:rsidRPr="00754228" w:rsidRDefault="003B7BD6" w:rsidP="007C54F9">
            <w:pPr>
              <w:rPr>
                <w:rFonts w:cstheme="minorHAnsi"/>
                <w:sz w:val="18"/>
                <w:szCs w:val="18"/>
              </w:rPr>
            </w:pPr>
            <w:r w:rsidRPr="00754228">
              <w:rPr>
                <w:rFonts w:cstheme="minorHAnsi"/>
                <w:sz w:val="18"/>
                <w:szCs w:val="18"/>
              </w:rPr>
              <w:t>Zapewnienie utrzymania projektu (w okresie trwałości)</w:t>
            </w:r>
          </w:p>
        </w:tc>
        <w:tc>
          <w:tcPr>
            <w:tcW w:w="6232" w:type="dxa"/>
          </w:tcPr>
          <w:p w14:paraId="31908A9C" w14:textId="70004D0C" w:rsidR="007C54F9" w:rsidRPr="00754228" w:rsidRDefault="0001030F" w:rsidP="007C54F9">
            <w:pPr>
              <w:jc w:val="both"/>
              <w:rPr>
                <w:rFonts w:cstheme="minorHAnsi"/>
                <w:bCs/>
                <w:i/>
                <w:sz w:val="18"/>
                <w:szCs w:val="18"/>
              </w:rPr>
            </w:pPr>
            <w:r w:rsidRPr="00754228">
              <w:rPr>
                <w:rFonts w:cstheme="minorHAnsi"/>
                <w:bCs/>
                <w:i/>
                <w:sz w:val="18"/>
                <w:szCs w:val="18"/>
              </w:rPr>
              <w:t>Po upływie okresu realizacji projektu Komitet Sterujący działający w strukturach Beneficjenta powołał zespół składający się z pracowników zatrudnionych w NID na podstawie umowy o pracę - odpowiedzialny za utrzymanie rezultatów projektu w okresie trwałości. Powierzając odpowiedzialność za poszczególne obszary związane z realizacją projektu po jego zakończeniu utworzona została struktura gwarantująca zachowanie trwałości.</w:t>
            </w:r>
          </w:p>
        </w:tc>
      </w:tr>
      <w:tr w:rsidR="009D3D41" w:rsidRPr="00754228" w14:paraId="07FF7B14" w14:textId="77777777" w:rsidTr="00813FEF">
        <w:tc>
          <w:tcPr>
            <w:tcW w:w="480" w:type="dxa"/>
          </w:tcPr>
          <w:p w14:paraId="6DD3C44E" w14:textId="77777777" w:rsidR="009D3D41" w:rsidRPr="00754228" w:rsidRDefault="009D3D41" w:rsidP="0058262E">
            <w:pPr>
              <w:pStyle w:val="Akapitzlist"/>
              <w:numPr>
                <w:ilvl w:val="0"/>
                <w:numId w:val="1"/>
              </w:numPr>
              <w:rPr>
                <w:rFonts w:cstheme="minorHAnsi"/>
                <w:sz w:val="18"/>
                <w:szCs w:val="18"/>
              </w:rPr>
            </w:pPr>
          </w:p>
        </w:tc>
        <w:tc>
          <w:tcPr>
            <w:tcW w:w="2350" w:type="dxa"/>
          </w:tcPr>
          <w:p w14:paraId="701EC4FE" w14:textId="77777777" w:rsidR="009D3D41" w:rsidRPr="00754228" w:rsidRDefault="009D3D41" w:rsidP="007E6098">
            <w:pPr>
              <w:rPr>
                <w:rFonts w:cstheme="minorHAnsi"/>
                <w:sz w:val="18"/>
                <w:szCs w:val="18"/>
              </w:rPr>
            </w:pPr>
            <w:r w:rsidRPr="00754228">
              <w:rPr>
                <w:rFonts w:cstheme="minorHAnsi"/>
                <w:sz w:val="18"/>
                <w:szCs w:val="18"/>
              </w:rPr>
              <w:t>Doświadczenia związane z realizacją projektu</w:t>
            </w:r>
          </w:p>
        </w:tc>
        <w:tc>
          <w:tcPr>
            <w:tcW w:w="6232" w:type="dxa"/>
          </w:tcPr>
          <w:p w14:paraId="3BF2FD34" w14:textId="1CC22AD9" w:rsidR="0001030F" w:rsidRPr="00754228" w:rsidRDefault="0001030F" w:rsidP="009D3D41">
            <w:pPr>
              <w:jc w:val="both"/>
              <w:rPr>
                <w:rFonts w:cstheme="minorHAnsi"/>
                <w:bCs/>
                <w:i/>
                <w:sz w:val="18"/>
                <w:szCs w:val="18"/>
              </w:rPr>
            </w:pPr>
            <w:r w:rsidRPr="00754228">
              <w:rPr>
                <w:rFonts w:cstheme="minorHAnsi"/>
                <w:bCs/>
                <w:i/>
                <w:sz w:val="18"/>
                <w:szCs w:val="18"/>
              </w:rPr>
              <w:t>Realizacja projektu w wielu aspektach wiązała się z wkraczaniem na niezbadane dotychczas obszary funkcjonowania Instytutu. Skala przedsięwzięcia, jego zakres i czas jak był dany na jego wykonanie stawiał NID przed wieloma wyzwaniami. Pod względem organizacji pracy (szczególnie biorąc pod uwagę okoliczności wiążące się z epidemią koronawirusa SARS-CoV-2) realizacja projektu wymagała potrzeby dynamicznego reagowania na zachodzące zmiany i dostosowywania modelu zarządzania do panujących okoliczności. Doświadczenia z tym związane pozwalają na zachowanie pewności co do możliwości podejmowania tego rodzaju wyzwań w przyszłości.</w:t>
            </w:r>
          </w:p>
          <w:p w14:paraId="5FF2955B" w14:textId="7858ABAE" w:rsidR="0001030F" w:rsidRPr="00754228" w:rsidRDefault="0001030F" w:rsidP="009D3D41">
            <w:pPr>
              <w:jc w:val="both"/>
              <w:rPr>
                <w:rFonts w:cstheme="minorHAnsi"/>
                <w:bCs/>
                <w:i/>
                <w:sz w:val="18"/>
                <w:szCs w:val="18"/>
              </w:rPr>
            </w:pPr>
          </w:p>
          <w:p w14:paraId="67782A66" w14:textId="32F48084" w:rsidR="009D3D41" w:rsidRPr="00754228" w:rsidRDefault="00D202B0" w:rsidP="00496E24">
            <w:pPr>
              <w:jc w:val="both"/>
              <w:rPr>
                <w:rFonts w:cstheme="minorHAnsi"/>
                <w:bCs/>
                <w:i/>
                <w:sz w:val="18"/>
                <w:szCs w:val="18"/>
              </w:rPr>
            </w:pPr>
            <w:r w:rsidRPr="00754228">
              <w:rPr>
                <w:rFonts w:cstheme="minorHAnsi"/>
                <w:bCs/>
                <w:i/>
                <w:sz w:val="18"/>
                <w:szCs w:val="18"/>
              </w:rPr>
              <w:t>Wykonanie całości założeń projektowych (wraz z efektami wynikającymi z zadania</w:t>
            </w:r>
            <w:r w:rsidR="00496E24" w:rsidRPr="00754228">
              <w:rPr>
                <w:rFonts w:cstheme="minorHAnsi"/>
                <w:bCs/>
                <w:i/>
                <w:sz w:val="18"/>
                <w:szCs w:val="18"/>
              </w:rPr>
              <w:t xml:space="preserve"> nr 5 – wprowadzonego w trakcie realizacji projektu, po wystąpieniu oszczędności wynikających z rozstrzygnięć przetargowych) przysporzyło doświadczeń merytorycznych w kwestii digitalizacji dokumentacji o różnej charakterystyce i prezentujących różną kondycję. Ponadto, wykonanie w ramach projektu procesu digitalizacji trójwymiarowej dla 25 obiektów pozwoliło na wypracowanie efektywnych procedur działania w tym obszarze i przygotowało do podejmowania podobnych zamierzeń w przyszłości.</w:t>
            </w:r>
          </w:p>
        </w:tc>
      </w:tr>
    </w:tbl>
    <w:p w14:paraId="6F215095" w14:textId="77777777" w:rsidR="007A0A3D" w:rsidRDefault="007A0A3D" w:rsidP="007A0A3D"/>
    <w:sectPr w:rsidR="007A0A3D">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089C4F" w16cid:durableId="2731BC28"/>
  <w16cid:commentId w16cid:paraId="33751D8C" w16cid:durableId="2731BC29"/>
  <w16cid:commentId w16cid:paraId="5F0C5C68" w16cid:durableId="2731BC2A"/>
  <w16cid:commentId w16cid:paraId="55F2942E" w16cid:durableId="2731BC2C"/>
  <w16cid:commentId w16cid:paraId="412004D1" w16cid:durableId="2731BC2D"/>
  <w16cid:commentId w16cid:paraId="730E7B77" w16cid:durableId="2731BC2E"/>
  <w16cid:commentId w16cid:paraId="50F4A375" w16cid:durableId="273B11FE"/>
  <w16cid:commentId w16cid:paraId="2119BF14" w16cid:durableId="273B120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0B403A" w14:textId="77777777" w:rsidR="00985767" w:rsidRDefault="00985767" w:rsidP="00AC01DE">
      <w:pPr>
        <w:spacing w:after="0" w:line="240" w:lineRule="auto"/>
      </w:pPr>
      <w:r>
        <w:separator/>
      </w:r>
    </w:p>
  </w:endnote>
  <w:endnote w:type="continuationSeparator" w:id="0">
    <w:p w14:paraId="0DD63B58" w14:textId="77777777" w:rsidR="00985767" w:rsidRDefault="00985767" w:rsidP="00AC0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
    <w:altName w:val="MS Mincho"/>
    <w:panose1 w:val="00000000000000000000"/>
    <w:charset w:val="80"/>
    <w:family w:val="auto"/>
    <w:notTrueType/>
    <w:pitch w:val="default"/>
    <w:sig w:usb0="00000007" w:usb1="08070000" w:usb2="00000010" w:usb3="00000000" w:csb0="0002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92090E" w14:textId="77777777" w:rsidR="00985767" w:rsidRDefault="00985767" w:rsidP="00AC01DE">
      <w:pPr>
        <w:spacing w:after="0" w:line="240" w:lineRule="auto"/>
      </w:pPr>
      <w:r>
        <w:separator/>
      </w:r>
    </w:p>
  </w:footnote>
  <w:footnote w:type="continuationSeparator" w:id="0">
    <w:p w14:paraId="6F3A37E1" w14:textId="77777777" w:rsidR="00985767" w:rsidRDefault="00985767" w:rsidP="00AC01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D16133F"/>
    <w:multiLevelType w:val="hybridMultilevel"/>
    <w:tmpl w:val="636247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8B5ACC"/>
    <w:multiLevelType w:val="hybridMultilevel"/>
    <w:tmpl w:val="1114A0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47845FF2"/>
    <w:multiLevelType w:val="hybridMultilevel"/>
    <w:tmpl w:val="4C96A4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49CB2412"/>
    <w:multiLevelType w:val="hybridMultilevel"/>
    <w:tmpl w:val="B64ACAA4"/>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4D295E4B"/>
    <w:multiLevelType w:val="hybridMultilevel"/>
    <w:tmpl w:val="76FE7A28"/>
    <w:lvl w:ilvl="0" w:tplc="04150001">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8"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506B6528"/>
    <w:multiLevelType w:val="hybridMultilevel"/>
    <w:tmpl w:val="BE02C1E8"/>
    <w:lvl w:ilvl="0" w:tplc="5E5ECC34">
      <w:start w:val="1"/>
      <w:numFmt w:val="bullet"/>
      <w:lvlText w:val="-"/>
      <w:lvlJc w:val="left"/>
      <w:pPr>
        <w:ind w:left="720" w:hanging="360"/>
      </w:pPr>
      <w:rPr>
        <w:rFonts w:ascii="Calibri" w:hAnsi="Calibri" w:hint="default"/>
      </w:rPr>
    </w:lvl>
    <w:lvl w:ilvl="1" w:tplc="AD922A2A">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5E605F80"/>
    <w:multiLevelType w:val="hybridMultilevel"/>
    <w:tmpl w:val="D51AC4C2"/>
    <w:lvl w:ilvl="0" w:tplc="3912DD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F14CD4"/>
    <w:multiLevelType w:val="hybridMultilevel"/>
    <w:tmpl w:val="2ECEFB64"/>
    <w:lvl w:ilvl="0" w:tplc="0D12B368">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3" w15:restartNumberingAfterBreak="0">
    <w:nsid w:val="6B591059"/>
    <w:multiLevelType w:val="hybridMultilevel"/>
    <w:tmpl w:val="7C52B4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7CAF12EC"/>
    <w:multiLevelType w:val="hybridMultilevel"/>
    <w:tmpl w:val="4392A206"/>
    <w:lvl w:ilvl="0" w:tplc="5E5ECC34">
      <w:start w:val="1"/>
      <w:numFmt w:val="bullet"/>
      <w:lvlText w:val="-"/>
      <w:lvlJc w:val="left"/>
      <w:pPr>
        <w:ind w:left="780" w:hanging="360"/>
      </w:pPr>
      <w:rPr>
        <w:rFonts w:ascii="Calibri" w:hAnsi="Calibri" w:hint="default"/>
      </w:rPr>
    </w:lvl>
    <w:lvl w:ilvl="1" w:tplc="5E5ECC34">
      <w:start w:val="1"/>
      <w:numFmt w:val="bullet"/>
      <w:lvlText w:val="-"/>
      <w:lvlJc w:val="left"/>
      <w:pPr>
        <w:ind w:left="1500" w:hanging="360"/>
      </w:pPr>
      <w:rPr>
        <w:rFonts w:ascii="Calibri" w:hAnsi="Calibri"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hint="default"/>
      </w:rPr>
    </w:lvl>
    <w:lvl w:ilvl="8" w:tplc="04150005">
      <w:start w:val="1"/>
      <w:numFmt w:val="bullet"/>
      <w:lvlText w:val=""/>
      <w:lvlJc w:val="left"/>
      <w:pPr>
        <w:ind w:left="6540" w:hanging="360"/>
      </w:pPr>
      <w:rPr>
        <w:rFonts w:ascii="Wingdings" w:hAnsi="Wingdings" w:hint="default"/>
      </w:rPr>
    </w:lvl>
  </w:abstractNum>
  <w:num w:numId="1">
    <w:abstractNumId w:val="1"/>
  </w:num>
  <w:num w:numId="2">
    <w:abstractNumId w:val="5"/>
  </w:num>
  <w:num w:numId="3">
    <w:abstractNumId w:val="0"/>
  </w:num>
  <w:num w:numId="4">
    <w:abstractNumId w:val="10"/>
  </w:num>
  <w:num w:numId="5">
    <w:abstractNumId w:val="8"/>
  </w:num>
  <w:num w:numId="6">
    <w:abstractNumId w:val="14"/>
  </w:num>
  <w:num w:numId="7">
    <w:abstractNumId w:val="3"/>
  </w:num>
  <w:num w:numId="8">
    <w:abstractNumId w:val="6"/>
  </w:num>
  <w:num w:numId="9">
    <w:abstractNumId w:val="7"/>
  </w:num>
  <w:num w:numId="10">
    <w:abstractNumId w:val="13"/>
  </w:num>
  <w:num w:numId="11">
    <w:abstractNumId w:val="2"/>
  </w:num>
  <w:num w:numId="12">
    <w:abstractNumId w:val="12"/>
  </w:num>
  <w:num w:numId="13">
    <w:abstractNumId w:val="9"/>
  </w:num>
  <w:num w:numId="14">
    <w:abstractNumId w:val="15"/>
  </w:num>
  <w:num w:numId="15">
    <w:abstractNumId w:val="1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1030F"/>
    <w:rsid w:val="000122D0"/>
    <w:rsid w:val="000913B0"/>
    <w:rsid w:val="000D3CA9"/>
    <w:rsid w:val="000E0C6F"/>
    <w:rsid w:val="00116D07"/>
    <w:rsid w:val="001304DD"/>
    <w:rsid w:val="001455E8"/>
    <w:rsid w:val="001600BB"/>
    <w:rsid w:val="001806EC"/>
    <w:rsid w:val="001C611C"/>
    <w:rsid w:val="001C6D7D"/>
    <w:rsid w:val="001C7ABB"/>
    <w:rsid w:val="001F5751"/>
    <w:rsid w:val="0021582D"/>
    <w:rsid w:val="002450C4"/>
    <w:rsid w:val="0028304F"/>
    <w:rsid w:val="002A153C"/>
    <w:rsid w:val="002A728C"/>
    <w:rsid w:val="002E1D98"/>
    <w:rsid w:val="0035254C"/>
    <w:rsid w:val="00384A65"/>
    <w:rsid w:val="003B107D"/>
    <w:rsid w:val="003B7BD6"/>
    <w:rsid w:val="003C4929"/>
    <w:rsid w:val="003D7919"/>
    <w:rsid w:val="004046DC"/>
    <w:rsid w:val="004213CF"/>
    <w:rsid w:val="00453860"/>
    <w:rsid w:val="00496E24"/>
    <w:rsid w:val="004B19FE"/>
    <w:rsid w:val="004D135D"/>
    <w:rsid w:val="00501174"/>
    <w:rsid w:val="00531750"/>
    <w:rsid w:val="0054660F"/>
    <w:rsid w:val="00570353"/>
    <w:rsid w:val="0058262E"/>
    <w:rsid w:val="005A4344"/>
    <w:rsid w:val="005D4188"/>
    <w:rsid w:val="005F344C"/>
    <w:rsid w:val="00632AA0"/>
    <w:rsid w:val="00643672"/>
    <w:rsid w:val="00645BF4"/>
    <w:rsid w:val="00670C49"/>
    <w:rsid w:val="00687AFE"/>
    <w:rsid w:val="006B7454"/>
    <w:rsid w:val="00716201"/>
    <w:rsid w:val="007408A3"/>
    <w:rsid w:val="00743031"/>
    <w:rsid w:val="007437D9"/>
    <w:rsid w:val="00754228"/>
    <w:rsid w:val="00773523"/>
    <w:rsid w:val="007A0A3D"/>
    <w:rsid w:val="007C54F9"/>
    <w:rsid w:val="007E2F1F"/>
    <w:rsid w:val="007E6098"/>
    <w:rsid w:val="007F63EF"/>
    <w:rsid w:val="00813FEF"/>
    <w:rsid w:val="00814C23"/>
    <w:rsid w:val="008213A6"/>
    <w:rsid w:val="008632E4"/>
    <w:rsid w:val="008927DE"/>
    <w:rsid w:val="008E0416"/>
    <w:rsid w:val="00905779"/>
    <w:rsid w:val="0092099A"/>
    <w:rsid w:val="00920CE8"/>
    <w:rsid w:val="00957E18"/>
    <w:rsid w:val="009605C8"/>
    <w:rsid w:val="00963662"/>
    <w:rsid w:val="00982DC4"/>
    <w:rsid w:val="00985767"/>
    <w:rsid w:val="009C4325"/>
    <w:rsid w:val="009D3D41"/>
    <w:rsid w:val="009E1398"/>
    <w:rsid w:val="009F03C0"/>
    <w:rsid w:val="00A12836"/>
    <w:rsid w:val="00A1534B"/>
    <w:rsid w:val="00A522AB"/>
    <w:rsid w:val="00A6601B"/>
    <w:rsid w:val="00A710B2"/>
    <w:rsid w:val="00A727BD"/>
    <w:rsid w:val="00AA1C73"/>
    <w:rsid w:val="00AC01DE"/>
    <w:rsid w:val="00AC1438"/>
    <w:rsid w:val="00B01017"/>
    <w:rsid w:val="00B33C04"/>
    <w:rsid w:val="00B57299"/>
    <w:rsid w:val="00B93735"/>
    <w:rsid w:val="00B9777B"/>
    <w:rsid w:val="00BA4BA3"/>
    <w:rsid w:val="00BC120E"/>
    <w:rsid w:val="00C37A3A"/>
    <w:rsid w:val="00C42446"/>
    <w:rsid w:val="00C546B0"/>
    <w:rsid w:val="00C56B53"/>
    <w:rsid w:val="00C67B9B"/>
    <w:rsid w:val="00C948E6"/>
    <w:rsid w:val="00CA79E4"/>
    <w:rsid w:val="00CF4111"/>
    <w:rsid w:val="00D202B0"/>
    <w:rsid w:val="00D22A05"/>
    <w:rsid w:val="00D2582C"/>
    <w:rsid w:val="00D32F6D"/>
    <w:rsid w:val="00D60B86"/>
    <w:rsid w:val="00D65F79"/>
    <w:rsid w:val="00DB70A5"/>
    <w:rsid w:val="00E30008"/>
    <w:rsid w:val="00E52249"/>
    <w:rsid w:val="00E607AB"/>
    <w:rsid w:val="00EF094D"/>
    <w:rsid w:val="00F32CAA"/>
    <w:rsid w:val="00F741B3"/>
    <w:rsid w:val="00F82254"/>
    <w:rsid w:val="00FA2C7F"/>
    <w:rsid w:val="00FD07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8D82B"/>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Akapit z listą BS,lp1,Preambuła,L1,Normalny PDST,HŁ_Bullet1"/>
    <w:basedOn w:val="Normalny"/>
    <w:link w:val="AkapitzlistZnak"/>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semiHidden/>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3FEF"/>
    <w:rPr>
      <w:sz w:val="20"/>
      <w:szCs w:val="20"/>
    </w:rPr>
  </w:style>
  <w:style w:type="paragraph" w:styleId="Tekstprzypisukocowego">
    <w:name w:val="endnote text"/>
    <w:basedOn w:val="Normalny"/>
    <w:link w:val="TekstprzypisukocowegoZnak"/>
    <w:uiPriority w:val="99"/>
    <w:semiHidden/>
    <w:unhideWhenUsed/>
    <w:rsid w:val="00AC01D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C01DE"/>
    <w:rPr>
      <w:sz w:val="20"/>
      <w:szCs w:val="20"/>
    </w:rPr>
  </w:style>
  <w:style w:type="character" w:styleId="Odwoanieprzypisukocowego">
    <w:name w:val="endnote reference"/>
    <w:basedOn w:val="Domylnaczcionkaakapitu"/>
    <w:uiPriority w:val="99"/>
    <w:semiHidden/>
    <w:unhideWhenUsed/>
    <w:rsid w:val="00AC01DE"/>
    <w:rPr>
      <w:vertAlign w:val="superscript"/>
    </w:rPr>
  </w:style>
  <w:style w:type="character" w:styleId="Hipercze">
    <w:name w:val="Hyperlink"/>
    <w:uiPriority w:val="99"/>
    <w:unhideWhenUsed/>
    <w:rsid w:val="00116D07"/>
    <w:rPr>
      <w:color w:val="0563C1"/>
      <w:u w:val="single"/>
    </w:rPr>
  </w:style>
  <w:style w:type="paragraph" w:styleId="Tekstprzypisudolnego">
    <w:name w:val="footnote text"/>
    <w:basedOn w:val="Normalny"/>
    <w:link w:val="TekstprzypisudolnegoZnak"/>
    <w:uiPriority w:val="99"/>
    <w:semiHidden/>
    <w:unhideWhenUsed/>
    <w:rsid w:val="00496E2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96E24"/>
    <w:rPr>
      <w:sz w:val="20"/>
      <w:szCs w:val="20"/>
    </w:rPr>
  </w:style>
  <w:style w:type="character" w:styleId="Odwoanieprzypisudolnego">
    <w:name w:val="footnote reference"/>
    <w:basedOn w:val="Domylnaczcionkaakapitu"/>
    <w:uiPriority w:val="99"/>
    <w:semiHidden/>
    <w:unhideWhenUsed/>
    <w:rsid w:val="00496E24"/>
    <w:rPr>
      <w:vertAlign w:val="superscript"/>
    </w:rPr>
  </w:style>
  <w:style w:type="character" w:customStyle="1" w:styleId="Other">
    <w:name w:val="Other_"/>
    <w:basedOn w:val="Domylnaczcionkaakapitu"/>
    <w:link w:val="Other0"/>
    <w:rsid w:val="001F5751"/>
    <w:rPr>
      <w:rFonts w:ascii="Calibri" w:eastAsia="Calibri" w:hAnsi="Calibri" w:cs="Calibri"/>
      <w:sz w:val="18"/>
      <w:szCs w:val="18"/>
    </w:rPr>
  </w:style>
  <w:style w:type="paragraph" w:customStyle="1" w:styleId="Other0">
    <w:name w:val="Other"/>
    <w:basedOn w:val="Normalny"/>
    <w:link w:val="Other"/>
    <w:rsid w:val="001F5751"/>
    <w:pPr>
      <w:widowControl w:val="0"/>
      <w:spacing w:after="0" w:line="240" w:lineRule="auto"/>
    </w:pPr>
    <w:rPr>
      <w:rFonts w:ascii="Calibri" w:eastAsia="Calibri" w:hAnsi="Calibri" w:cs="Calibri"/>
      <w:sz w:val="18"/>
      <w:szCs w:val="18"/>
    </w:rPr>
  </w:style>
  <w:style w:type="character" w:customStyle="1" w:styleId="TekstpodstawowyZnak">
    <w:name w:val="Tekst podstawowy Znak"/>
    <w:basedOn w:val="Domylnaczcionkaakapitu"/>
    <w:link w:val="Tekstpodstawowy"/>
    <w:rsid w:val="001F5751"/>
    <w:rPr>
      <w:rFonts w:ascii="Calibri" w:eastAsia="Calibri" w:hAnsi="Calibri" w:cs="Calibri"/>
      <w:sz w:val="18"/>
      <w:szCs w:val="18"/>
    </w:rPr>
  </w:style>
  <w:style w:type="paragraph" w:styleId="Tekstpodstawowy">
    <w:name w:val="Body Text"/>
    <w:basedOn w:val="Normalny"/>
    <w:link w:val="TekstpodstawowyZnak"/>
    <w:qFormat/>
    <w:rsid w:val="001F5751"/>
    <w:pPr>
      <w:widowControl w:val="0"/>
      <w:spacing w:after="0" w:line="240" w:lineRule="auto"/>
      <w:ind w:firstLine="20"/>
    </w:pPr>
    <w:rPr>
      <w:rFonts w:ascii="Calibri" w:eastAsia="Calibri" w:hAnsi="Calibri" w:cs="Calibri"/>
      <w:sz w:val="18"/>
      <w:szCs w:val="18"/>
    </w:rPr>
  </w:style>
  <w:style w:type="character" w:customStyle="1" w:styleId="TekstpodstawowyZnak1">
    <w:name w:val="Tekst podstawowy Znak1"/>
    <w:basedOn w:val="Domylnaczcionkaakapitu"/>
    <w:uiPriority w:val="99"/>
    <w:semiHidden/>
    <w:rsid w:val="001F5751"/>
  </w:style>
  <w:style w:type="paragraph" w:styleId="Tematkomentarza">
    <w:name w:val="annotation subject"/>
    <w:basedOn w:val="Tekstkomentarza"/>
    <w:next w:val="Tekstkomentarza"/>
    <w:link w:val="TematkomentarzaZnak"/>
    <w:uiPriority w:val="99"/>
    <w:semiHidden/>
    <w:unhideWhenUsed/>
    <w:rsid w:val="001F5751"/>
    <w:rPr>
      <w:b/>
      <w:bCs/>
    </w:rPr>
  </w:style>
  <w:style w:type="character" w:customStyle="1" w:styleId="TematkomentarzaZnak">
    <w:name w:val="Temat komentarza Znak"/>
    <w:basedOn w:val="TekstkomentarzaZnak"/>
    <w:link w:val="Tematkomentarza"/>
    <w:uiPriority w:val="99"/>
    <w:semiHidden/>
    <w:rsid w:val="001F5751"/>
    <w:rPr>
      <w:b/>
      <w:bCs/>
      <w:sz w:val="20"/>
      <w:szCs w:val="20"/>
    </w:rPr>
  </w:style>
  <w:style w:type="character" w:customStyle="1" w:styleId="Tablecaption">
    <w:name w:val="Table caption_"/>
    <w:basedOn w:val="Domylnaczcionkaakapitu"/>
    <w:link w:val="Tablecaption0"/>
    <w:rsid w:val="003C4929"/>
    <w:rPr>
      <w:rFonts w:ascii="Calibri" w:eastAsia="Calibri" w:hAnsi="Calibri" w:cs="Calibri"/>
      <w:sz w:val="10"/>
      <w:szCs w:val="10"/>
    </w:rPr>
  </w:style>
  <w:style w:type="paragraph" w:customStyle="1" w:styleId="Tablecaption0">
    <w:name w:val="Table caption"/>
    <w:basedOn w:val="Normalny"/>
    <w:link w:val="Tablecaption"/>
    <w:rsid w:val="003C4929"/>
    <w:pPr>
      <w:widowControl w:val="0"/>
      <w:spacing w:after="0" w:line="240" w:lineRule="auto"/>
    </w:pPr>
    <w:rPr>
      <w:rFonts w:ascii="Calibri" w:eastAsia="Calibri" w:hAnsi="Calibri" w:cs="Calibri"/>
      <w:sz w:val="10"/>
      <w:szCs w:val="10"/>
    </w:rPr>
  </w:style>
  <w:style w:type="character" w:customStyle="1" w:styleId="AkapitzlistZnak">
    <w:name w:val="Akapit z listą Znak"/>
    <w:aliases w:val="Akapit z listą BS Znak,lp1 Znak,Preambuła Znak,L1 Znak,Normalny PDST Znak,HŁ_Bullet1 Znak"/>
    <w:basedOn w:val="Domylnaczcionkaakapitu"/>
    <w:link w:val="Akapitzlist"/>
    <w:uiPriority w:val="34"/>
    <w:rsid w:val="001C7ABB"/>
  </w:style>
  <w:style w:type="paragraph" w:customStyle="1" w:styleId="footnotedescription">
    <w:name w:val="footnote description"/>
    <w:next w:val="Normalny"/>
    <w:link w:val="footnotedescriptionChar"/>
    <w:hidden/>
    <w:rsid w:val="001C7ABB"/>
    <w:pPr>
      <w:spacing w:after="0"/>
      <w:ind w:firstLine="65"/>
    </w:pPr>
    <w:rPr>
      <w:rFonts w:ascii="Calibri" w:eastAsia="Calibri" w:hAnsi="Calibri" w:cs="Calibri"/>
      <w:color w:val="000000"/>
      <w:sz w:val="18"/>
      <w:vertAlign w:val="superscript"/>
      <w:lang w:eastAsia="pl-PL"/>
    </w:rPr>
  </w:style>
  <w:style w:type="character" w:customStyle="1" w:styleId="footnotedescriptionChar">
    <w:name w:val="footnote description Char"/>
    <w:link w:val="footnotedescription"/>
    <w:rsid w:val="001C7ABB"/>
    <w:rPr>
      <w:rFonts w:ascii="Calibri" w:eastAsia="Calibri" w:hAnsi="Calibri" w:cs="Calibri"/>
      <w:color w:val="000000"/>
      <w:sz w:val="18"/>
      <w:vertAlign w:val="superscript"/>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byte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py.zabytek.gov.pl" TargetMode="External"/><Relationship Id="rId5" Type="http://schemas.openxmlformats.org/officeDocument/2006/relationships/webSettings" Target="webSettings.xml"/><Relationship Id="rId10" Type="http://schemas.openxmlformats.org/officeDocument/2006/relationships/hyperlink" Target="http://www.zabytek.pl" TargetMode="External"/><Relationship Id="rId4" Type="http://schemas.openxmlformats.org/officeDocument/2006/relationships/settings" Target="settings.xml"/><Relationship Id="rId9" Type="http://schemas.openxmlformats.org/officeDocument/2006/relationships/hyperlink" Target="http://www.mapy.zabytek.gov.pl" TargetMode="Externa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89B1B-E986-47FB-8E69-F538B2BD4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4916</Words>
  <Characters>29496</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34344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Karczmarczyk Sylwia</cp:lastModifiedBy>
  <cp:revision>4</cp:revision>
  <dcterms:created xsi:type="dcterms:W3CDTF">2022-12-07T12:44:00Z</dcterms:created>
  <dcterms:modified xsi:type="dcterms:W3CDTF">2022-12-14T08:39:00Z</dcterms:modified>
</cp:coreProperties>
</file>